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Katalog przesłanek służących weryfikacji, czy osoba jest zagrożona wykluczeniem społecznym </w:t>
      </w:r>
    </w:p>
    <w:p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Poniżej prezentujemy zestawienie przesłanek, które powinny spełniać kandydatki i kandydaci do zatrudnienia na nowych miejscach pracy, tworzonych </w:t>
      </w:r>
      <w:r>
        <w:rPr>
          <w:rFonts w:ascii="Arial Narrow" w:eastAsia="Arial Narrow" w:hAnsi="Arial Narrow" w:cs="Arial Narrow"/>
          <w:sz w:val="24"/>
          <w:szCs w:val="24"/>
        </w:rPr>
        <w:br/>
        <w:t xml:space="preserve">w przedsiębiorstwach społecznych (PS) lub podmiotach ekonomii społecznej (PES) przekształcanych w przedsiębiorstwa społeczne dzięki wsparciu finansowemu z Funduszu Przedsiębiorczości Społecznej w ramach </w:t>
      </w:r>
      <w:r>
        <w:rPr>
          <w:rFonts w:ascii="Arial Narrow" w:eastAsia="Arial Narrow" w:hAnsi="Arial Narrow" w:cs="Arial Narrow"/>
          <w:b/>
          <w:sz w:val="24"/>
          <w:szCs w:val="24"/>
        </w:rPr>
        <w:t>Ośrodka Wspierania Inicjatyw Ekonomii Społecznej w Elblągu.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Aby daną osobę można było uznać za “osobę zagrożoną wykluczeniem społecznym” w myśl art. 2 pkt 6 ustawy z dnia 5 sierpnia 2022 r. o ekonomii społecznej, powinna ona spełniać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przynajmniej jedną </w:t>
      </w:r>
      <w:r>
        <w:rPr>
          <w:rFonts w:ascii="Arial Narrow" w:eastAsia="Arial Narrow" w:hAnsi="Arial Narrow" w:cs="Arial Narrow"/>
          <w:sz w:val="24"/>
          <w:szCs w:val="24"/>
        </w:rPr>
        <w:t>spośród opisanych niżej przesłanek.</w:t>
      </w:r>
    </w:p>
    <w:p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>
      <w:pPr>
        <w:spacing w:after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Tabela zawiera również wskazówki, w jaki sposób można udokumentować spełnianie danej przesłanki przez kandydata/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tkę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do zatrudnienia.</w:t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513"/>
        <w:gridCol w:w="4257"/>
      </w:tblGrid>
      <w:tr>
        <w:trPr>
          <w:trHeight w:val="850"/>
        </w:trPr>
        <w:tc>
          <w:tcPr>
            <w:tcW w:w="14175" w:type="dxa"/>
            <w:gridSpan w:val="3"/>
            <w:shd w:val="clear" w:color="auto" w:fill="F2F2F2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Wsparcie finansowe z Funduszu Przedsiębiorczości Społecznej jest udzielane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>wyłącznie na tworzenie nowych miejsc pracy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dla osób zagrożonych wykluczeniem społecznym,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 których mowa w art. 2 pkt 6 ustawy z dnia 5 sierpnia 2022 r. o ekonomii społecznej</w:t>
            </w:r>
          </w:p>
        </w:tc>
      </w:tr>
      <w:tr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Przesłanka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Podstawa prawna, objaśnienie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Dokument potwierdzający status</w:t>
            </w:r>
          </w:p>
        </w:tc>
      </w:tr>
      <w:tr>
        <w:trPr>
          <w:trHeight w:val="20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bezrobotna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/Zgodnie z art. 2 ust. 1 pkt 2 ustawy z dnia 20 kwietnia 2004 r. o promocji zatrudnienia i instytucjach rynku pracy (Dz. U. z 2023 r. poz. 735./ </w:t>
            </w:r>
          </w:p>
          <w:p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Zarejestrowana w Powiatowym Urzędzie Pracy (PUP)</w:t>
            </w:r>
          </w:p>
          <w:p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lub</w:t>
            </w:r>
          </w:p>
          <w:p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Niezarejestrowana w Powiatowym Urzędzie Pracy (PUP)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Powiatowego Urzędu Pracy (PUP)</w:t>
            </w:r>
          </w:p>
          <w:p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Zaświadczenie z Zakładu Ubezpieczeń Społecznych (ZUS)/PUE ZUS </w:t>
            </w:r>
            <w:r>
              <w:rPr>
                <w:rStyle w:val="Odwoanieprzypisudolnego"/>
                <w:rFonts w:ascii="Arial Narrow" w:eastAsia="Arial Narrow" w:hAnsi="Arial Narrow" w:cs="Arial Narrow"/>
                <w:sz w:val="20"/>
                <w:szCs w:val="20"/>
              </w:rPr>
              <w:footnoteReference w:id="1"/>
            </w:r>
          </w:p>
          <w:p>
            <w:pPr>
              <w:pStyle w:val="Akapitzlist"/>
              <w:numPr>
                <w:ilvl w:val="8"/>
                <w:numId w:val="5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>
        <w:trPr>
          <w:trHeight w:val="2098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osoba bezrobotna długotrwale</w:t>
            </w:r>
          </w:p>
          <w:p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/Zgodnie z art. 2 ust. 1 pkt 5 ustawy z dnia 20 kwietnia 2004 r. o promocji zatrudnienia i instytucjach rynku pracy/</w:t>
            </w:r>
          </w:p>
          <w:p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Oznacza to bezrobotnego pozostającego w rejestrze Powiatowego Urzędu Pracy łącznie przez okres ponad 12 miesięcy w okresie ostatnich 2 lat, z wyłączeniem okresów odbywania stażu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i przygotowania zawodowego dorosłych; </w:t>
            </w:r>
          </w:p>
          <w:p>
            <w:pPr>
              <w:pStyle w:val="Akapitzlist"/>
              <w:spacing w:after="0" w:line="240" w:lineRule="auto"/>
              <w:ind w:left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lub</w:t>
            </w:r>
          </w:p>
          <w:p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Pozostających bez zatrudnienia przez okres 12 miesięcy wstecz przed zatrudnieniem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Powiatowego Urzędu Pracy (PUP)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Zakładu Ubezpieczeń Społecznych (ZUS)/PUE ZUS</w:t>
            </w:r>
          </w:p>
        </w:tc>
      </w:tr>
      <w:tr>
        <w:trPr>
          <w:trHeight w:val="2381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poszukująca pracy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/Zgodnie z art. 2 ust. 1 pkt 22 ustawy z dnia 20 kwietnia 2004 r. o promocji zatrudnienia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br/>
              <w:t xml:space="preserve">i instytucjach rynku pracy, bez zatrudnienia :w wieku do 30. roku życia oraz po ukończeniu 50. roku życia lub niewykonującego innej pracy zarobkowej, o której mowa w art. 2 ust. 1 pkt 11 ustawy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br/>
              <w:t>z dnia 20 kwietnia 2004 r. o promocji zatrudnienia i instytucjach rynku pracy/</w:t>
            </w:r>
          </w:p>
          <w:p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Oznacza to osobę zarejestrowaną w Powiatowym Urzędzie Pracy jako “poszukująca pracy”, dodatkowo spełniającą następujące warunki: nie posiadająca zatrudnienia;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2a. W wieku do 30. roku życia oraz po ukończeniu 50. roku życia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2b. Niewykonująca innej pracy zarobkowej, o której mowa w art. 2 ust. 1 pkt 11 ustawy z dnia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      20 kwietnia 2004 r. o promocji zatrudnienia i instytucjach rynku pracy.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Zaświadczenie z Powiatowego Urzędu Pracy (PUP) </w:t>
            </w:r>
          </w:p>
        </w:tc>
      </w:tr>
      <w:tr>
        <w:trPr>
          <w:trHeight w:val="3005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niepełnosprawna</w:t>
            </w:r>
          </w:p>
          <w:p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 Zgodnie z  art. 1 ustawy z dnia 27 sierpnia 1997 r. o rehabilitacji zawodowej i społecznej oraz zatrudnianiu osób niepełnosprawnych/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Mowa o osobach, których niepełnosprawność została potwierdzona orzeczeniem: </w:t>
            </w:r>
          </w:p>
          <w:p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zakwalifikowaniu przez organy orzekające do jednego z trzech stopni niepełnosprawności określonych w art. 3, tzn.: 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znaczny;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umiarkowany; 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lekki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lub 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 całkowitej lub częściowej niezdolności do pracy na podstawie odrębnych przepisów,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Kopia poświadczona za zgodność z oryginałem orzeczenia o stopniu niepełnosprawności wydanego przez zespół ds. orzekania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o niepełnosprawności.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</w:p>
          <w:p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Kopia poświadczona za zgodność z oryginałem orzeczenia o niepełnosprawności wydanego przez Zakład Ubezpieczeń Społecznych. </w:t>
            </w:r>
          </w:p>
        </w:tc>
      </w:tr>
      <w:tr>
        <w:trPr>
          <w:trHeight w:val="2494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absolwent centrum integracji społecznej oraz absolwent klubu integracji społecznej</w:t>
            </w:r>
          </w:p>
          <w:p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/Zgodnie z art. 2 pkt 1a i 1b ustawy z dnia 13 czerwca 2003 r. o zatrudnieniu socjalnym/</w:t>
            </w: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Absolwent centrum integracji społeczne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 – oznacza to osobę, która przez okres nie krótszy niż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6 miesięcy uczestniczyła w zajęciach w centrum integracji społecznej i otrzymała zaświadczenie potwierdzające uczestnictwo w zajęciach i umiejętności nabyte w ramach reintegracji zawodowej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i społecznej. Taka osoba ta jest absolwentem centrum integracji społecznej przez okres 6 miesięcy od dnia zakończenia zajęć w CIS. 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Absolwent klubu integracji społecznej –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oznacza to osobę, która uczestniczyła w klubie integracji społecznej przez okres nie krótszy niż 6 miesięcy, posiada ważne zaświadczenie o zakończeniu uczestnictwa oraz zrealizowała postanowienia kontraktu socjalnego.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wydane przez podmiot prowadzący Centrum Integracji Społecznej lub Klub Integracji Społecznej.</w:t>
            </w:r>
          </w:p>
        </w:tc>
      </w:tr>
      <w:tr>
        <w:trPr>
          <w:trHeight w:val="850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osobę korzystającą ze świadczeń pomocy społecznej </w:t>
            </w:r>
          </w:p>
          <w:p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/Zgodnie z art. 8 ust. ustawy z dnia 12 marca 2004 r. o pomocy społecznej (Dz. U. z 2021 r. poz. 2268, z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późn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 zm.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)/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Oznacza to osobę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posiadającą prawo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do świadczeń pieniężnych z pomocy społecznej:</w:t>
            </w:r>
          </w:p>
          <w:p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Której dochód nie przekracza kwoty 776 zł w przypadku osoby samotnie gospodarującej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  <w:p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Której dochód nie przekracza kwoty 600 zł na osobę w rodzinie, w przypadku osoby gospodarującej w rodzinie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Ośrodka Pomocy Społecznej/Centrum Usług Społecznych.</w:t>
            </w:r>
          </w:p>
        </w:tc>
      </w:tr>
      <w:t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korzystająca ze specjalnego zasiłku opiekuńczego w ramach Ośrodka Pomocy Społecznej</w:t>
            </w:r>
          </w:p>
          <w:p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"/>
              </w:numPr>
              <w:tabs>
                <w:tab w:val="left" w:pos="750"/>
              </w:tabs>
              <w:spacing w:line="240" w:lineRule="auto"/>
              <w:ind w:left="0" w:right="-40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/Zgodnie z art. 16a ust. 1 ustawy z dnia 28 listopada 2003 r. o świadczeniach rodzinnych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br/>
              <w:t>(Dz. U. z 2023 r. poz. 390 i 658) /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Oznacza osoby , na których ciąży obowiązek alimentacyjny, a także małżonkom, jeżeli: </w:t>
            </w:r>
          </w:p>
          <w:p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Nie podejmują zatrudnienia lub innej pracy zarobkowej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 xml:space="preserve">lub </w:t>
            </w:r>
          </w:p>
          <w:p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Rezygnują z zatrudnienia lub innej pracy zarobkowej –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samodzielnej egzystencji oraz konieczności stałego współudziału na co dzień opiekuna dziecka w procesie jego leczenia, rehabilitacji i edukacji.</w:t>
            </w:r>
          </w:p>
          <w:p>
            <w:pPr>
              <w:spacing w:line="240" w:lineRule="auto"/>
              <w:rPr>
                <w:rFonts w:ascii="Arial Narrow" w:hAnsi="Arial Narrow"/>
                <w:color w:val="1B1B1B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>Ważne!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br/>
              <w:t>Z dniem 1 stycznia 2024 r. zostaje uchylony art. 16a ustawy o świadczeniach rodzinnych regulujący zasady przysługiwania specjalnego zasiłku opiekuńczego</w:t>
            </w:r>
            <w:r>
              <w:rPr>
                <w:rFonts w:ascii="Arial Narrow" w:hAnsi="Arial Narrow"/>
                <w:color w:val="1B1B1B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1B1B1B"/>
                <w:sz w:val="20"/>
                <w:szCs w:val="20"/>
              </w:rPr>
              <w:br/>
              <w:t>Jednakże, na podstawie przepisów przejściowych,  specjalny zasiłek opiekuńczy będzie mógł być nadal przyznawany także po 31 grudnia 2023 r. na zasadzie zachowania praw nabytych, które są uregulowane w przepisach przejściowych ustawy o świadczeniu wspierającym.</w:t>
            </w:r>
            <w:r>
              <w:rPr>
                <w:rStyle w:val="Odwoanieprzypisudolnego"/>
                <w:rFonts w:ascii="Arial Narrow" w:hAnsi="Arial Narrow"/>
                <w:color w:val="1B1B1B"/>
                <w:sz w:val="20"/>
                <w:szCs w:val="20"/>
              </w:rPr>
              <w:footnoteReference w:id="5"/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F5496" w:themeColor="accent1" w:themeShade="BF"/>
                <w:sz w:val="20"/>
                <w:szCs w:val="20"/>
              </w:rPr>
              <w:t xml:space="preserve">Z uwagi na powyższe, spełnienie niniejszej przesłanki będzie badane indywidualnie. 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Ośrodka Pomocy Społecznej/Centrum Usług Społecznych.</w:t>
            </w:r>
          </w:p>
        </w:tc>
      </w:tr>
      <w:tr>
        <w:trPr>
          <w:trHeight w:val="3515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usamodzielniana</w:t>
            </w:r>
          </w:p>
          <w:p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widowControl w:val="0"/>
              <w:spacing w:line="240" w:lineRule="auto"/>
              <w:ind w:right="-40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/Zgodnie z art. 140 ust. 1 i 2 ustawy z dnia 9 czerwca 2011 r. o wspieraniu rodziny i systemie pieczy zastępczej (Dz. U. z 2022 r. poz. 447, 1700 i 2140 oraz z 2023 r. poz. 403 i 535) oraz art. 88 ust. 1 ustawy z dnia 12 marca 2004 r. o pomocy społecznej/</w:t>
            </w:r>
          </w:p>
          <w:p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Osoba opuszczająca, po osiągnięciu pełnoletności, rodzinę zastępczą, rodzinny dom dziecka, placówkę opiekuńczo-wychowawczą lub regionalną placówkę opiekuńczo-terapeutyczną, w przypadku gdy umieszczenie w pieczy zastępczej nastąpiło na podstawie orzeczenia sądu; </w:t>
            </w:r>
          </w:p>
          <w:p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Osoba, której pobyt w rodzinnej pieczy zastępczej ustał na skutek śmierci osób tworzących rodzinę zastępczą lub osoby prowadzącej rodzinny dom dziecka,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w okresie 6 miesięcy przed osiągnięciem przez osobę usamodzielnianą pełnoletności.</w:t>
            </w:r>
          </w:p>
          <w:p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Osoba pełnoletnia opuszczająca dom pomocy społecznej dla dzieci i młodzieży niepełnosprawnych intelektualnie, dom dla matek z 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wychowawczy.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odpowiedniej instytucji/ ośrodka/placówki.</w:t>
            </w: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z zaburzeniami psychicznymi</w:t>
            </w:r>
          </w:p>
          <w:p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/Zgodnie z art. 3 pkt 1 ustawy z dnia 19 sierpnia 1994 r. o ochronie zdrowia psychicznego (Dz. U. z 2022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r.poz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 2123)/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Odnosi się to do osoby: </w:t>
            </w:r>
          </w:p>
          <w:p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Chorej psychicznie (wykazującej zaburzenia psychotyczne), </w:t>
            </w:r>
          </w:p>
          <w:p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Osoba z niepełnosprawnością intelektualną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</w:p>
          <w:p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Wykazującej inne zakłócenia czynności psychicznych, które zgodnie ze stanem wiedzy medycznej zaliczane są do zaburzeń psychicznych, a osoba ta wymaga świadczeń zdrowotnych lub innych form pomocy i opieki niezbędnych do życia w środowisku rodzinnym lub społecznym;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lekarskie</w:t>
            </w:r>
            <w:r>
              <w:rPr>
                <w:rStyle w:val="Odwoanieprzypisudolnego"/>
                <w:rFonts w:ascii="Arial Narrow" w:eastAsia="Arial Narrow" w:hAnsi="Arial Narrow" w:cs="Arial Narrow"/>
                <w:sz w:val="20"/>
                <w:szCs w:val="20"/>
              </w:rPr>
              <w:footnoteReference w:id="6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wydane przez lekarza psychiatrę lub lekarza neurologa, o występujących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zaburzeniach psychicznych danej osoby lub orzeczenie o niepełnosprawności. </w:t>
            </w:r>
          </w:p>
        </w:tc>
      </w:tr>
      <w:tr>
        <w:trPr>
          <w:trHeight w:val="2041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osoba pozbawiona wolności, osoba opuszczająca zakład karny oraz pełnoletnia osoba opuszczająca zakład poprawczy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 z zakładu karnego/ zakład poprawczy lub inny dokument potwierdzający ww. sytuację.</w:t>
            </w:r>
          </w:p>
        </w:tc>
      </w:tr>
      <w:tr>
        <w:trPr>
          <w:trHeight w:val="624"/>
        </w:trP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 starsza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/Zgodnie z art. 4 pkt 1 ustawy z dnia 11 września 2015 r. o osobach starszych (Dz. U. poz. 1705)/</w:t>
            </w:r>
          </w:p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" w:name="_heading=h.ae5nrb21enhn" w:colFirst="0" w:colLast="0"/>
            <w:bookmarkEnd w:id="1"/>
            <w:r>
              <w:rPr>
                <w:rFonts w:ascii="Arial Narrow" w:eastAsia="Arial Narrow" w:hAnsi="Arial Narrow" w:cs="Arial Narrow"/>
                <w:sz w:val="20"/>
                <w:szCs w:val="20"/>
              </w:rPr>
              <w:t>To osoba, która ukończyła 60. rok życia.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Oświadczenie/ deklaracja uczestnictwa w projekcie. </w:t>
            </w:r>
          </w:p>
        </w:tc>
      </w:tr>
      <w:tr>
        <w:tc>
          <w:tcPr>
            <w:tcW w:w="2405" w:type="dxa"/>
            <w:shd w:val="clear" w:color="auto" w:fill="FFFFFF"/>
          </w:tcPr>
          <w:p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która uzyskała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  <w:t>w Rzeczypospolitej Polskiej status uchodźcy lub ochronę uzupełniającą</w:t>
            </w:r>
          </w:p>
          <w:p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750"/>
              </w:tabs>
              <w:spacing w:after="0" w:line="240" w:lineRule="auto"/>
              <w:ind w:right="-40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kategoria preferowana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br/>
              <w:t>do wsparcia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--</w:t>
            </w: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Zaświadczenie, ważna karta pobytu lub inny dokument potwierdzający, że osoba posiada status uchodźcy albo uzyskała ochronę uzupełniającą.</w:t>
            </w:r>
          </w:p>
        </w:tc>
      </w:tr>
    </w:tbl>
    <w:p>
      <w:pPr>
        <w:spacing w:after="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highlight w:val="yellow"/>
          <w:u w:val="single"/>
        </w:rPr>
        <w:t xml:space="preserve">Preferowane </w:t>
      </w:r>
      <w:r>
        <w:rPr>
          <w:rFonts w:ascii="Arial Narrow" w:eastAsia="Arial Narrow" w:hAnsi="Arial Narrow" w:cs="Arial Narrow"/>
          <w:sz w:val="20"/>
          <w:szCs w:val="20"/>
          <w:highlight w:val="yellow"/>
        </w:rPr>
        <w:t>do wsparcia są osoby wskazane w powyższej tabeli w punktach:</w:t>
      </w:r>
      <w:r>
        <w:rPr>
          <w:rFonts w:ascii="Arial Narrow" w:eastAsia="Arial Narrow" w:hAnsi="Arial Narrow" w:cs="Arial Narrow"/>
          <w:b/>
          <w:sz w:val="20"/>
          <w:szCs w:val="20"/>
          <w:highlight w:val="yellow"/>
        </w:rPr>
        <w:t xml:space="preserve"> B, D, E, G, H, I, L</w:t>
      </w:r>
    </w:p>
    <w:p/>
    <w:p>
      <w:pPr>
        <w:rPr>
          <w:rFonts w:ascii="Arial Narrow" w:hAnsi="Arial Narrow"/>
          <w:sz w:val="20"/>
          <w:szCs w:val="10"/>
        </w:rPr>
      </w:pPr>
      <w:r>
        <w:t>*</w:t>
      </w:r>
      <w:r>
        <w:rPr>
          <w:rFonts w:ascii="Arial Narrow" w:hAnsi="Arial Narrow"/>
          <w:b/>
          <w:sz w:val="18"/>
          <w:szCs w:val="18"/>
        </w:rPr>
        <w:t>Zaświadczenie z ZUS</w:t>
      </w:r>
      <w:r>
        <w:rPr>
          <w:rFonts w:ascii="Arial Narrow" w:hAnsi="Arial Narrow"/>
          <w:sz w:val="18"/>
          <w:szCs w:val="18"/>
        </w:rPr>
        <w:t xml:space="preserve"> – zaświadczenie potwierdzające niepodleganiu obowiązkowemu ubezpieczeniu społecznemu z tytułu o których mowa w art. 6 ustawy 1 pkt. 1-6, 8, 10-20, 22 ustawy z dnia 13.10.1998 r. </w:t>
      </w:r>
      <w:r>
        <w:rPr>
          <w:rFonts w:ascii="Arial Narrow" w:hAnsi="Arial Narrow"/>
          <w:sz w:val="18"/>
          <w:szCs w:val="18"/>
        </w:rPr>
        <w:br/>
        <w:t>o systemie ubezpieczeń społecznych w okresie ostatnich 12 miesięcy.</w:t>
      </w:r>
      <w:bookmarkStart w:id="2" w:name="_GoBack"/>
      <w:bookmarkEnd w:id="2"/>
    </w:p>
    <w:sectPr>
      <w:headerReference w:type="default" r:id="rId8"/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Zaświadczenie w formie elektronicznej</w:t>
      </w:r>
      <w:r>
        <w:t xml:space="preserve">, </w:t>
      </w:r>
      <w:r>
        <w:rPr>
          <w:rFonts w:ascii="Arial Narrow" w:hAnsi="Arial Narrow"/>
        </w:rPr>
        <w:t xml:space="preserve">wygenerowane </w:t>
      </w:r>
      <w:r>
        <w:rPr>
          <w:rStyle w:val="hgkelc"/>
          <w:rFonts w:ascii="Arial Narrow" w:hAnsi="Arial Narrow"/>
          <w:bCs/>
        </w:rPr>
        <w:t>poprzez PUE ZUS – Platformę Usług Elektronicznych.</w:t>
      </w:r>
    </w:p>
  </w:footnote>
  <w:footnote w:id="2">
    <w:p>
      <w:pPr>
        <w:spacing w:after="0" w:line="240" w:lineRule="auto"/>
        <w:rPr>
          <w:rFonts w:ascii="Arial Narrow" w:eastAsia="Verdana" w:hAnsi="Arial Narrow" w:cs="Verdana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Verdana" w:hAnsi="Arial Narrow" w:cs="Verdana"/>
          <w:sz w:val="18"/>
          <w:szCs w:val="18"/>
        </w:rPr>
        <w:t xml:space="preserve"> Zmiany tekstu jednolitego wymienionej ustawy zostały ogłoszone w Dz. U. z 2021 r. poz. 2270, z 2022 r. poz. 1, 66, 1079, 1692, 1700, 1812, 1967, 2127, 2140 i 2754 oraz z 2023 r. poz. 185 i 535</w:t>
      </w:r>
    </w:p>
  </w:footnote>
  <w:footnote w:id="3">
    <w:p>
      <w:pPr>
        <w:widowControl w:val="0"/>
        <w:tabs>
          <w:tab w:val="left" w:pos="750"/>
        </w:tabs>
        <w:spacing w:after="0" w:line="240" w:lineRule="auto"/>
        <w:ind w:right="-4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sz w:val="18"/>
          <w:szCs w:val="18"/>
        </w:rPr>
        <w:t xml:space="preserve"> Aktualna kwota jest ustalana na podstawie art. 9 ustawy z dnia 12 marca 2004 r. o pomocy społecznej (Dz. U. z 2021 r. poz. 2268, z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późn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 zm.),</w:t>
      </w:r>
    </w:p>
  </w:footnote>
  <w:footnote w:id="4">
    <w:p>
      <w:pPr>
        <w:widowControl w:val="0"/>
        <w:tabs>
          <w:tab w:val="left" w:pos="750"/>
        </w:tabs>
        <w:spacing w:after="0" w:line="240" w:lineRule="auto"/>
        <w:ind w:right="-4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sz w:val="18"/>
          <w:szCs w:val="18"/>
        </w:rPr>
        <w:t xml:space="preserve"> Aktualna kwota jest ustalana na podstawie art. 9 ustawy z dnia 12 marca 2004 r. o pomocy społecznej (Dz. U. z 2021 r. poz. 2268, z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późn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 zm.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</w:footnote>
  <w:footnote w:id="5">
    <w:p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https://www.gov.pl</w:t>
      </w:r>
    </w:p>
  </w:footnote>
  <w:footnote w:id="6">
    <w:p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  <w:szCs w:val="18"/>
        </w:rPr>
        <w:t>Zaświadczenie potwierdzające istnienie choroby psychicznej, bez opisu przebiegu choroby, kodu choroby itp.</w:t>
      </w:r>
      <w:r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8400" cy="75600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9CF"/>
    <w:multiLevelType w:val="hybridMultilevel"/>
    <w:tmpl w:val="B4D4AA22"/>
    <w:lvl w:ilvl="0" w:tplc="14021136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4879"/>
    <w:multiLevelType w:val="hybridMultilevel"/>
    <w:tmpl w:val="29CE5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2CE1"/>
    <w:multiLevelType w:val="hybridMultilevel"/>
    <w:tmpl w:val="D71E2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700E8"/>
    <w:multiLevelType w:val="hybridMultilevel"/>
    <w:tmpl w:val="0A2A2812"/>
    <w:lvl w:ilvl="0" w:tplc="AE8CCA2A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756"/>
    <w:multiLevelType w:val="hybridMultilevel"/>
    <w:tmpl w:val="EC762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20647"/>
    <w:multiLevelType w:val="hybridMultilevel"/>
    <w:tmpl w:val="CC8E1F64"/>
    <w:lvl w:ilvl="0" w:tplc="E6C24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302E4"/>
    <w:multiLevelType w:val="multilevel"/>
    <w:tmpl w:val="1DE2B2D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5564BBC"/>
    <w:multiLevelType w:val="hybridMultilevel"/>
    <w:tmpl w:val="839EDE90"/>
    <w:lvl w:ilvl="0" w:tplc="B67C4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009AB"/>
    <w:multiLevelType w:val="hybridMultilevel"/>
    <w:tmpl w:val="48204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4CDF"/>
    <w:multiLevelType w:val="multilevel"/>
    <w:tmpl w:val="B05407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505780"/>
    <w:multiLevelType w:val="hybridMultilevel"/>
    <w:tmpl w:val="342E40C0"/>
    <w:lvl w:ilvl="0" w:tplc="0D20C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B0C06"/>
    <w:multiLevelType w:val="multilevel"/>
    <w:tmpl w:val="03AADA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2B5F16D0"/>
    <w:multiLevelType w:val="hybridMultilevel"/>
    <w:tmpl w:val="295C1220"/>
    <w:lvl w:ilvl="0" w:tplc="DCAEBE04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A9E"/>
    <w:multiLevelType w:val="hybridMultilevel"/>
    <w:tmpl w:val="E1645412"/>
    <w:lvl w:ilvl="0" w:tplc="AE8CCA2A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0477"/>
    <w:multiLevelType w:val="hybridMultilevel"/>
    <w:tmpl w:val="ED00C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20A9"/>
    <w:multiLevelType w:val="multilevel"/>
    <w:tmpl w:val="534C0E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091A0C"/>
    <w:multiLevelType w:val="hybridMultilevel"/>
    <w:tmpl w:val="D9C0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337EE"/>
    <w:multiLevelType w:val="hybridMultilevel"/>
    <w:tmpl w:val="EAD8DEE4"/>
    <w:lvl w:ilvl="0" w:tplc="F12833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B56E0"/>
    <w:multiLevelType w:val="multilevel"/>
    <w:tmpl w:val="5368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387F8F"/>
    <w:multiLevelType w:val="hybridMultilevel"/>
    <w:tmpl w:val="AF82B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5636A"/>
    <w:multiLevelType w:val="multilevel"/>
    <w:tmpl w:val="2C4A8B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E77152"/>
    <w:multiLevelType w:val="multilevel"/>
    <w:tmpl w:val="66A095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226400"/>
    <w:multiLevelType w:val="hybridMultilevel"/>
    <w:tmpl w:val="304AE0D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79F3E99"/>
    <w:multiLevelType w:val="hybridMultilevel"/>
    <w:tmpl w:val="4C5E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0441D"/>
    <w:multiLevelType w:val="hybridMultilevel"/>
    <w:tmpl w:val="891A4048"/>
    <w:lvl w:ilvl="0" w:tplc="B67C4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2E7D12"/>
    <w:multiLevelType w:val="hybridMultilevel"/>
    <w:tmpl w:val="007C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044516"/>
    <w:multiLevelType w:val="hybridMultilevel"/>
    <w:tmpl w:val="AB324F36"/>
    <w:lvl w:ilvl="0" w:tplc="B67C4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50200F"/>
    <w:multiLevelType w:val="hybridMultilevel"/>
    <w:tmpl w:val="5D5AD978"/>
    <w:lvl w:ilvl="0" w:tplc="D7FA4216">
      <w:start w:val="2"/>
      <w:numFmt w:val="decimal"/>
      <w:lvlText w:val="%1b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A4161C"/>
    <w:multiLevelType w:val="hybridMultilevel"/>
    <w:tmpl w:val="67DA8610"/>
    <w:lvl w:ilvl="0" w:tplc="F12833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D13C6"/>
    <w:multiLevelType w:val="hybridMultilevel"/>
    <w:tmpl w:val="BD7E0906"/>
    <w:lvl w:ilvl="0" w:tplc="B67C4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25A50"/>
    <w:multiLevelType w:val="hybridMultilevel"/>
    <w:tmpl w:val="E822215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ED7083"/>
    <w:multiLevelType w:val="hybridMultilevel"/>
    <w:tmpl w:val="E79AA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017C9F"/>
    <w:multiLevelType w:val="multilevel"/>
    <w:tmpl w:val="E604C3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1B87EAC"/>
    <w:multiLevelType w:val="multilevel"/>
    <w:tmpl w:val="A57AC988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56BCF"/>
    <w:multiLevelType w:val="hybridMultilevel"/>
    <w:tmpl w:val="627A5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D267BC"/>
    <w:multiLevelType w:val="multilevel"/>
    <w:tmpl w:val="B3F8DA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DD6459"/>
    <w:multiLevelType w:val="multilevel"/>
    <w:tmpl w:val="03AADA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7E101296"/>
    <w:multiLevelType w:val="multilevel"/>
    <w:tmpl w:val="8D0A2BBC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  <w:u w:val="none"/>
      </w:rPr>
    </w:lvl>
  </w:abstractNum>
  <w:abstractNum w:abstractNumId="38" w15:restartNumberingAfterBreak="0">
    <w:nsid w:val="7EA56677"/>
    <w:multiLevelType w:val="hybridMultilevel"/>
    <w:tmpl w:val="6640FA7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B21C1C"/>
    <w:multiLevelType w:val="hybridMultilevel"/>
    <w:tmpl w:val="C2769CD2"/>
    <w:lvl w:ilvl="0" w:tplc="A6709F0A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7C89"/>
    <w:multiLevelType w:val="hybridMultilevel"/>
    <w:tmpl w:val="EDB0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0"/>
  </w:num>
  <w:num w:numId="4">
    <w:abstractNumId w:val="18"/>
  </w:num>
  <w:num w:numId="5">
    <w:abstractNumId w:val="21"/>
  </w:num>
  <w:num w:numId="6">
    <w:abstractNumId w:val="33"/>
  </w:num>
  <w:num w:numId="7">
    <w:abstractNumId w:val="32"/>
  </w:num>
  <w:num w:numId="8">
    <w:abstractNumId w:val="9"/>
  </w:num>
  <w:num w:numId="9">
    <w:abstractNumId w:val="40"/>
  </w:num>
  <w:num w:numId="10">
    <w:abstractNumId w:val="23"/>
  </w:num>
  <w:num w:numId="11">
    <w:abstractNumId w:val="11"/>
  </w:num>
  <w:num w:numId="12">
    <w:abstractNumId w:val="36"/>
  </w:num>
  <w:num w:numId="13">
    <w:abstractNumId w:val="31"/>
  </w:num>
  <w:num w:numId="14">
    <w:abstractNumId w:val="19"/>
  </w:num>
  <w:num w:numId="15">
    <w:abstractNumId w:val="5"/>
  </w:num>
  <w:num w:numId="16">
    <w:abstractNumId w:val="28"/>
  </w:num>
  <w:num w:numId="17">
    <w:abstractNumId w:val="17"/>
  </w:num>
  <w:num w:numId="18">
    <w:abstractNumId w:val="8"/>
  </w:num>
  <w:num w:numId="19">
    <w:abstractNumId w:val="10"/>
  </w:num>
  <w:num w:numId="20">
    <w:abstractNumId w:val="2"/>
  </w:num>
  <w:num w:numId="21">
    <w:abstractNumId w:val="22"/>
  </w:num>
  <w:num w:numId="22">
    <w:abstractNumId w:val="39"/>
  </w:num>
  <w:num w:numId="23">
    <w:abstractNumId w:val="6"/>
  </w:num>
  <w:num w:numId="24">
    <w:abstractNumId w:val="38"/>
  </w:num>
  <w:num w:numId="25">
    <w:abstractNumId w:val="37"/>
  </w:num>
  <w:num w:numId="26">
    <w:abstractNumId w:val="30"/>
  </w:num>
  <w:num w:numId="27">
    <w:abstractNumId w:val="12"/>
  </w:num>
  <w:num w:numId="28">
    <w:abstractNumId w:val="24"/>
  </w:num>
  <w:num w:numId="29">
    <w:abstractNumId w:val="0"/>
  </w:num>
  <w:num w:numId="30">
    <w:abstractNumId w:val="27"/>
  </w:num>
  <w:num w:numId="31">
    <w:abstractNumId w:val="25"/>
  </w:num>
  <w:num w:numId="32">
    <w:abstractNumId w:val="13"/>
  </w:num>
  <w:num w:numId="33">
    <w:abstractNumId w:val="3"/>
  </w:num>
  <w:num w:numId="34">
    <w:abstractNumId w:val="16"/>
  </w:num>
  <w:num w:numId="35">
    <w:abstractNumId w:val="14"/>
  </w:num>
  <w:num w:numId="36">
    <w:abstractNumId w:val="1"/>
  </w:num>
  <w:num w:numId="37">
    <w:abstractNumId w:val="34"/>
  </w:num>
  <w:num w:numId="38">
    <w:abstractNumId w:val="4"/>
  </w:num>
  <w:num w:numId="39">
    <w:abstractNumId w:val="29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9960B3-296A-4D75-9441-CD661986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3B51-E16E-4F80-B899-8669D41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4</cp:revision>
  <cp:lastPrinted>2024-02-12T11:06:00Z</cp:lastPrinted>
  <dcterms:created xsi:type="dcterms:W3CDTF">2024-02-12T13:21:00Z</dcterms:created>
  <dcterms:modified xsi:type="dcterms:W3CDTF">2024-03-05T13:53:00Z</dcterms:modified>
</cp:coreProperties>
</file>