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after="0" w:line="276" w:lineRule="auto"/>
        <w:rPr>
          <w:rFonts w:ascii="Arial Narrow" w:eastAsia="Arial" w:hAnsi="Arial Narrow" w:cs="Arial"/>
          <w:lang w:val="pl" w:eastAsia="pl-PL"/>
        </w:rPr>
      </w:pPr>
    </w:p>
    <w:p>
      <w:pPr>
        <w:shd w:val="clear" w:color="auto" w:fill="FFFFFF"/>
        <w:spacing w:after="0" w:line="360" w:lineRule="auto"/>
        <w:ind w:left="720" w:right="-40"/>
        <w:jc w:val="center"/>
        <w:rPr>
          <w:rFonts w:ascii="Arial Narrow" w:eastAsia="Tahoma" w:hAnsi="Arial Narrow" w:cs="Tahoma"/>
          <w:b/>
          <w:lang w:val="pl" w:eastAsia="pl-PL"/>
        </w:rPr>
      </w:pPr>
      <w:r>
        <w:rPr>
          <w:rFonts w:ascii="Arial Narrow" w:eastAsia="Tahoma" w:hAnsi="Arial Narrow" w:cs="Tahoma"/>
          <w:b/>
          <w:lang w:val="pl" w:eastAsia="pl-PL"/>
        </w:rPr>
        <w:t>Regulamin Funduszu Przedsiębiorczości Społecznej</w:t>
      </w:r>
    </w:p>
    <w:p>
      <w:pPr>
        <w:shd w:val="clear" w:color="auto" w:fill="FFFFFF"/>
        <w:spacing w:after="0" w:line="360" w:lineRule="auto"/>
        <w:ind w:left="720" w:right="-40"/>
        <w:jc w:val="center"/>
        <w:rPr>
          <w:rFonts w:ascii="Arial Narrow" w:eastAsia="Tahoma" w:hAnsi="Arial Narrow" w:cs="Tahoma"/>
          <w:b/>
          <w:lang w:val="pl" w:eastAsia="pl-PL"/>
        </w:rPr>
      </w:pPr>
      <w:r>
        <w:rPr>
          <w:rFonts w:ascii="Arial Narrow" w:eastAsia="Tahoma" w:hAnsi="Arial Narrow" w:cs="Tahoma"/>
          <w:b/>
          <w:lang w:val="pl" w:eastAsia="pl-PL"/>
        </w:rPr>
        <w:t>(udzielania wsparcia finansowego na utworzenie i utrzymanie miejsca pracy w PS/PES przekształcanym w PS oraz wsparcia reintegracyjnego)</w:t>
      </w:r>
    </w:p>
    <w:p>
      <w:pPr>
        <w:shd w:val="clear" w:color="auto" w:fill="FFFFFF"/>
        <w:spacing w:after="0" w:line="360" w:lineRule="auto"/>
        <w:ind w:left="720" w:right="-40"/>
        <w:jc w:val="center"/>
        <w:rPr>
          <w:rFonts w:ascii="Arial Narrow" w:eastAsia="Tahoma" w:hAnsi="Arial Narrow" w:cs="Tahoma"/>
          <w:b/>
          <w:lang w:val="pl" w:eastAsia="pl-PL"/>
        </w:rPr>
      </w:pPr>
      <w:r>
        <w:rPr>
          <w:rFonts w:ascii="Arial Narrow" w:eastAsia="Tahoma" w:hAnsi="Arial Narrow" w:cs="Tahoma"/>
          <w:b/>
          <w:lang w:val="pl" w:eastAsia="pl-PL"/>
        </w:rPr>
        <w:t>Aktualizacja z dnia 12.06.2025 r.</w:t>
      </w:r>
    </w:p>
    <w:p>
      <w:pPr>
        <w:shd w:val="clear" w:color="auto" w:fill="FFFFFF"/>
        <w:spacing w:after="0" w:line="360" w:lineRule="auto"/>
        <w:ind w:right="-40"/>
        <w:rPr>
          <w:rFonts w:ascii="Arial Narrow" w:eastAsia="Tahoma" w:hAnsi="Arial Narrow" w:cs="Tahoma"/>
          <w:b/>
          <w:lang w:val="pl" w:eastAsia="pl-PL"/>
        </w:rPr>
      </w:pPr>
    </w:p>
    <w:p>
      <w:pPr>
        <w:shd w:val="clear" w:color="auto" w:fill="FFFFFF"/>
        <w:spacing w:after="0" w:line="360" w:lineRule="auto"/>
        <w:ind w:right="-40"/>
        <w:rPr>
          <w:rFonts w:ascii="Arial Narrow" w:eastAsia="Tahoma" w:hAnsi="Arial Narrow" w:cs="Tahoma"/>
          <w:b/>
          <w:lang w:val="pl" w:eastAsia="pl-PL"/>
        </w:rPr>
      </w:pPr>
      <w:r>
        <w:rPr>
          <w:rFonts w:ascii="Arial Narrow" w:eastAsia="Tahoma" w:hAnsi="Arial Narrow" w:cs="Tahoma"/>
          <w:b/>
          <w:lang w:val="pl" w:eastAsia="pl-PL"/>
        </w:rPr>
        <w:t>Spis treści</w:t>
      </w:r>
    </w:p>
    <w:sdt>
      <w:sdtPr>
        <w:rPr>
          <w:rFonts w:ascii="Arial Narrow" w:eastAsia="Arial" w:hAnsi="Arial Narrow" w:cs="Arial"/>
          <w:lang w:val="pl" w:eastAsia="pl-PL"/>
        </w:rPr>
        <w:id w:val="-2119206440"/>
        <w:docPartObj>
          <w:docPartGallery w:val="Table of Contents"/>
          <w:docPartUnique/>
        </w:docPartObj>
      </w:sdtPr>
      <w:sdtEndPr>
        <w:rPr>
          <w:b/>
          <w:bCs/>
        </w:rPr>
      </w:sdtEndPr>
      <w:sdtContent>
        <w:p>
          <w:pPr>
            <w:keepNext/>
            <w:keepLines/>
            <w:spacing w:before="240" w:after="0"/>
            <w:rPr>
              <w:rFonts w:ascii="Arial Narrow" w:eastAsiaTheme="majorEastAsia" w:hAnsi="Arial Narrow" w:cstheme="majorBidi"/>
              <w:i/>
              <w:color w:val="2F5496" w:themeColor="accent1" w:themeShade="BF"/>
              <w:lang w:eastAsia="pl-PL"/>
            </w:rPr>
          </w:pPr>
          <w:r>
            <w:rPr>
              <w:rFonts w:ascii="Arial Narrow" w:eastAsiaTheme="majorEastAsia" w:hAnsi="Arial Narrow" w:cstheme="majorBidi"/>
              <w:i/>
              <w:color w:val="2F5496" w:themeColor="accent1" w:themeShade="BF"/>
              <w:lang w:eastAsia="pl-PL"/>
            </w:rPr>
            <w:t>Spis treści</w:t>
          </w:r>
        </w:p>
        <w:p>
          <w:pPr>
            <w:tabs>
              <w:tab w:val="right" w:leader="dot" w:pos="9062"/>
            </w:tabs>
            <w:spacing w:after="100" w:line="276" w:lineRule="auto"/>
            <w:rPr>
              <w:rFonts w:eastAsiaTheme="minorEastAsia"/>
              <w:noProof/>
              <w:lang w:eastAsia="pl-PL"/>
            </w:rPr>
          </w:pPr>
          <w:r>
            <w:rPr>
              <w:rFonts w:ascii="Arial Narrow" w:eastAsia="Arial" w:hAnsi="Arial Narrow" w:cs="Arial"/>
              <w:b/>
              <w:bCs/>
              <w:lang w:val="pl" w:eastAsia="pl-PL"/>
            </w:rPr>
            <w:fldChar w:fldCharType="begin"/>
          </w:r>
          <w:r>
            <w:rPr>
              <w:rFonts w:ascii="Arial Narrow" w:eastAsia="Arial" w:hAnsi="Arial Narrow" w:cs="Arial"/>
              <w:b/>
              <w:bCs/>
              <w:lang w:val="pl" w:eastAsia="pl-PL"/>
            </w:rPr>
            <w:instrText xml:space="preserve"> TOC \o "1-3" \h \z \u </w:instrText>
          </w:r>
          <w:r>
            <w:rPr>
              <w:rFonts w:ascii="Arial Narrow" w:eastAsia="Arial" w:hAnsi="Arial Narrow" w:cs="Arial"/>
              <w:b/>
              <w:bCs/>
              <w:lang w:val="pl" w:eastAsia="pl-PL"/>
            </w:rPr>
            <w:fldChar w:fldCharType="separate"/>
          </w:r>
          <w:hyperlink w:anchor="_Toc175735238" w:history="1">
            <w:r>
              <w:rPr>
                <w:rFonts w:ascii="Arial Narrow" w:eastAsia="Arial" w:hAnsi="Arial Narrow" w:cs="Arial"/>
                <w:noProof/>
                <w:color w:val="0563C1" w:themeColor="hyperlink"/>
                <w:sz w:val="21"/>
                <w:u w:val="single"/>
                <w:lang w:val="pl" w:eastAsia="pl-PL"/>
              </w:rPr>
              <w:t>Słownik pojęć</w:t>
            </w:r>
            <w:r>
              <w:rPr>
                <w:rFonts w:ascii="Verdana" w:eastAsia="Arial" w:hAnsi="Verdana" w:cs="Arial"/>
                <w:noProof/>
                <w:webHidden/>
                <w:sz w:val="21"/>
                <w:lang w:val="pl" w:eastAsia="pl-PL"/>
              </w:rPr>
              <w:tab/>
            </w:r>
            <w:r>
              <w:rPr>
                <w:rFonts w:ascii="Verdana" w:eastAsia="Arial" w:hAnsi="Verdana" w:cs="Arial"/>
                <w:noProof/>
                <w:webHidden/>
                <w:sz w:val="21"/>
                <w:lang w:val="pl" w:eastAsia="pl-PL"/>
              </w:rPr>
              <w:fldChar w:fldCharType="begin"/>
            </w:r>
            <w:r>
              <w:rPr>
                <w:rFonts w:ascii="Verdana" w:eastAsia="Arial" w:hAnsi="Verdana" w:cs="Arial"/>
                <w:noProof/>
                <w:webHidden/>
                <w:sz w:val="21"/>
                <w:lang w:val="pl" w:eastAsia="pl-PL"/>
              </w:rPr>
              <w:instrText xml:space="preserve"> PAGEREF _Toc175735238 \h </w:instrText>
            </w:r>
            <w:r>
              <w:rPr>
                <w:rFonts w:ascii="Verdana" w:eastAsia="Arial" w:hAnsi="Verdana" w:cs="Arial"/>
                <w:noProof/>
                <w:webHidden/>
                <w:sz w:val="21"/>
                <w:lang w:val="pl" w:eastAsia="pl-PL"/>
              </w:rPr>
            </w:r>
            <w:r>
              <w:rPr>
                <w:rFonts w:ascii="Verdana" w:eastAsia="Arial" w:hAnsi="Verdana" w:cs="Arial"/>
                <w:noProof/>
                <w:webHidden/>
                <w:sz w:val="21"/>
                <w:lang w:val="pl" w:eastAsia="pl-PL"/>
              </w:rPr>
              <w:fldChar w:fldCharType="separate"/>
            </w:r>
            <w:r>
              <w:rPr>
                <w:rFonts w:ascii="Verdana" w:eastAsia="Arial" w:hAnsi="Verdana" w:cs="Arial"/>
                <w:noProof/>
                <w:webHidden/>
                <w:sz w:val="21"/>
                <w:lang w:val="pl" w:eastAsia="pl-PL"/>
              </w:rPr>
              <w:t>2</w:t>
            </w:r>
            <w:r>
              <w:rPr>
                <w:rFonts w:ascii="Verdana" w:eastAsia="Arial" w:hAnsi="Verdana" w:cs="Arial"/>
                <w:noProof/>
                <w:webHidden/>
                <w:sz w:val="21"/>
                <w:lang w:val="pl" w:eastAsia="pl-PL"/>
              </w:rPr>
              <w:fldChar w:fldCharType="end"/>
            </w:r>
          </w:hyperlink>
        </w:p>
        <w:p>
          <w:pPr>
            <w:tabs>
              <w:tab w:val="right" w:leader="dot" w:pos="9062"/>
            </w:tabs>
            <w:spacing w:after="100" w:line="276" w:lineRule="auto"/>
            <w:rPr>
              <w:rFonts w:eastAsiaTheme="minorEastAsia"/>
              <w:noProof/>
              <w:lang w:eastAsia="pl-PL"/>
            </w:rPr>
          </w:pPr>
          <w:hyperlink w:anchor="_Toc175735239" w:history="1">
            <w:r>
              <w:rPr>
                <w:rFonts w:ascii="Arial Narrow" w:eastAsia="Arial" w:hAnsi="Arial Narrow" w:cs="Arial"/>
                <w:noProof/>
                <w:color w:val="0563C1" w:themeColor="hyperlink"/>
                <w:sz w:val="21"/>
                <w:u w:val="single"/>
                <w:lang w:val="pl" w:eastAsia="pl-PL"/>
              </w:rPr>
              <w:t>Postanowienia ogólne</w:t>
            </w:r>
            <w:r>
              <w:rPr>
                <w:rFonts w:ascii="Verdana" w:eastAsia="Arial" w:hAnsi="Verdana" w:cs="Arial"/>
                <w:noProof/>
                <w:webHidden/>
                <w:sz w:val="21"/>
                <w:lang w:val="pl" w:eastAsia="pl-PL"/>
              </w:rPr>
              <w:tab/>
            </w:r>
            <w:r>
              <w:rPr>
                <w:rFonts w:ascii="Verdana" w:eastAsia="Arial" w:hAnsi="Verdana" w:cs="Arial"/>
                <w:noProof/>
                <w:webHidden/>
                <w:sz w:val="21"/>
                <w:lang w:val="pl" w:eastAsia="pl-PL"/>
              </w:rPr>
              <w:fldChar w:fldCharType="begin"/>
            </w:r>
            <w:r>
              <w:rPr>
                <w:rFonts w:ascii="Verdana" w:eastAsia="Arial" w:hAnsi="Verdana" w:cs="Arial"/>
                <w:noProof/>
                <w:webHidden/>
                <w:sz w:val="21"/>
                <w:lang w:val="pl" w:eastAsia="pl-PL"/>
              </w:rPr>
              <w:instrText xml:space="preserve"> PAGEREF _Toc175735239 \h </w:instrText>
            </w:r>
            <w:r>
              <w:rPr>
                <w:rFonts w:ascii="Verdana" w:eastAsia="Arial" w:hAnsi="Verdana" w:cs="Arial"/>
                <w:noProof/>
                <w:webHidden/>
                <w:sz w:val="21"/>
                <w:lang w:val="pl" w:eastAsia="pl-PL"/>
              </w:rPr>
            </w:r>
            <w:r>
              <w:rPr>
                <w:rFonts w:ascii="Verdana" w:eastAsia="Arial" w:hAnsi="Verdana" w:cs="Arial"/>
                <w:noProof/>
                <w:webHidden/>
                <w:sz w:val="21"/>
                <w:lang w:val="pl" w:eastAsia="pl-PL"/>
              </w:rPr>
              <w:fldChar w:fldCharType="separate"/>
            </w:r>
            <w:r>
              <w:rPr>
                <w:rFonts w:ascii="Verdana" w:eastAsia="Arial" w:hAnsi="Verdana" w:cs="Arial"/>
                <w:noProof/>
                <w:webHidden/>
                <w:sz w:val="21"/>
                <w:lang w:val="pl" w:eastAsia="pl-PL"/>
              </w:rPr>
              <w:t>3</w:t>
            </w:r>
            <w:r>
              <w:rPr>
                <w:rFonts w:ascii="Verdana" w:eastAsia="Arial" w:hAnsi="Verdana" w:cs="Arial"/>
                <w:noProof/>
                <w:webHidden/>
                <w:sz w:val="21"/>
                <w:lang w:val="pl" w:eastAsia="pl-PL"/>
              </w:rPr>
              <w:fldChar w:fldCharType="end"/>
            </w:r>
          </w:hyperlink>
        </w:p>
        <w:p>
          <w:pPr>
            <w:tabs>
              <w:tab w:val="right" w:leader="dot" w:pos="9062"/>
            </w:tabs>
            <w:spacing w:after="100" w:line="276" w:lineRule="auto"/>
            <w:rPr>
              <w:rFonts w:eastAsiaTheme="minorEastAsia"/>
              <w:noProof/>
              <w:lang w:eastAsia="pl-PL"/>
            </w:rPr>
          </w:pPr>
          <w:hyperlink w:anchor="_Toc175735240" w:history="1">
            <w:r>
              <w:rPr>
                <w:rFonts w:ascii="Arial Narrow" w:eastAsia="Arial" w:hAnsi="Arial Narrow" w:cs="Arial"/>
                <w:noProof/>
                <w:color w:val="0563C1" w:themeColor="hyperlink"/>
                <w:sz w:val="21"/>
                <w:u w:val="single"/>
                <w:lang w:val="pl" w:eastAsia="pl-PL"/>
              </w:rPr>
              <w:t>Wsparcie finansowe na utworzenie i utrzymanie miejsc pracy – zasady ogólne</w:t>
            </w:r>
            <w:r>
              <w:rPr>
                <w:rFonts w:ascii="Verdana" w:eastAsia="Arial" w:hAnsi="Verdana" w:cs="Arial"/>
                <w:noProof/>
                <w:webHidden/>
                <w:sz w:val="21"/>
                <w:lang w:val="pl" w:eastAsia="pl-PL"/>
              </w:rPr>
              <w:tab/>
            </w:r>
            <w:r>
              <w:rPr>
                <w:rFonts w:ascii="Verdana" w:eastAsia="Arial" w:hAnsi="Verdana" w:cs="Arial"/>
                <w:noProof/>
                <w:webHidden/>
                <w:sz w:val="21"/>
                <w:lang w:val="pl" w:eastAsia="pl-PL"/>
              </w:rPr>
              <w:fldChar w:fldCharType="begin"/>
            </w:r>
            <w:r>
              <w:rPr>
                <w:rFonts w:ascii="Verdana" w:eastAsia="Arial" w:hAnsi="Verdana" w:cs="Arial"/>
                <w:noProof/>
                <w:webHidden/>
                <w:sz w:val="21"/>
                <w:lang w:val="pl" w:eastAsia="pl-PL"/>
              </w:rPr>
              <w:instrText xml:space="preserve"> PAGEREF _Toc175735240 \h </w:instrText>
            </w:r>
            <w:r>
              <w:rPr>
                <w:rFonts w:ascii="Verdana" w:eastAsia="Arial" w:hAnsi="Verdana" w:cs="Arial"/>
                <w:noProof/>
                <w:webHidden/>
                <w:sz w:val="21"/>
                <w:lang w:val="pl" w:eastAsia="pl-PL"/>
              </w:rPr>
            </w:r>
            <w:r>
              <w:rPr>
                <w:rFonts w:ascii="Verdana" w:eastAsia="Arial" w:hAnsi="Verdana" w:cs="Arial"/>
                <w:noProof/>
                <w:webHidden/>
                <w:sz w:val="21"/>
                <w:lang w:val="pl" w:eastAsia="pl-PL"/>
              </w:rPr>
              <w:fldChar w:fldCharType="separate"/>
            </w:r>
            <w:r>
              <w:rPr>
                <w:rFonts w:ascii="Verdana" w:eastAsia="Arial" w:hAnsi="Verdana" w:cs="Arial"/>
                <w:noProof/>
                <w:webHidden/>
                <w:sz w:val="21"/>
                <w:lang w:val="pl" w:eastAsia="pl-PL"/>
              </w:rPr>
              <w:t>6</w:t>
            </w:r>
            <w:r>
              <w:rPr>
                <w:rFonts w:ascii="Verdana" w:eastAsia="Arial" w:hAnsi="Verdana" w:cs="Arial"/>
                <w:noProof/>
                <w:webHidden/>
                <w:sz w:val="21"/>
                <w:lang w:val="pl" w:eastAsia="pl-PL"/>
              </w:rPr>
              <w:fldChar w:fldCharType="end"/>
            </w:r>
          </w:hyperlink>
        </w:p>
        <w:p>
          <w:pPr>
            <w:tabs>
              <w:tab w:val="right" w:leader="dot" w:pos="9062"/>
            </w:tabs>
            <w:spacing w:after="100" w:line="276" w:lineRule="auto"/>
            <w:rPr>
              <w:rFonts w:eastAsiaTheme="minorEastAsia"/>
              <w:noProof/>
              <w:lang w:eastAsia="pl-PL"/>
            </w:rPr>
          </w:pPr>
          <w:hyperlink w:anchor="_Toc175735241" w:history="1">
            <w:r>
              <w:rPr>
                <w:rFonts w:ascii="Arial Narrow" w:eastAsia="Arial" w:hAnsi="Arial Narrow" w:cs="Arial"/>
                <w:noProof/>
                <w:color w:val="0563C1" w:themeColor="hyperlink"/>
                <w:sz w:val="21"/>
                <w:u w:val="single"/>
                <w:lang w:val="pl" w:eastAsia="pl-PL"/>
              </w:rPr>
              <w:t>Pomoc de minimis</w:t>
            </w:r>
            <w:r>
              <w:rPr>
                <w:rFonts w:ascii="Verdana" w:eastAsia="Arial" w:hAnsi="Verdana" w:cs="Arial"/>
                <w:noProof/>
                <w:webHidden/>
                <w:sz w:val="21"/>
                <w:lang w:val="pl" w:eastAsia="pl-PL"/>
              </w:rPr>
              <w:tab/>
            </w:r>
            <w:r>
              <w:rPr>
                <w:rFonts w:ascii="Verdana" w:eastAsia="Arial" w:hAnsi="Verdana" w:cs="Arial"/>
                <w:noProof/>
                <w:webHidden/>
                <w:sz w:val="21"/>
                <w:lang w:val="pl" w:eastAsia="pl-PL"/>
              </w:rPr>
              <w:fldChar w:fldCharType="begin"/>
            </w:r>
            <w:r>
              <w:rPr>
                <w:rFonts w:ascii="Verdana" w:eastAsia="Arial" w:hAnsi="Verdana" w:cs="Arial"/>
                <w:noProof/>
                <w:webHidden/>
                <w:sz w:val="21"/>
                <w:lang w:val="pl" w:eastAsia="pl-PL"/>
              </w:rPr>
              <w:instrText xml:space="preserve"> PAGEREF _Toc175735241 \h </w:instrText>
            </w:r>
            <w:r>
              <w:rPr>
                <w:rFonts w:ascii="Verdana" w:eastAsia="Arial" w:hAnsi="Verdana" w:cs="Arial"/>
                <w:noProof/>
                <w:webHidden/>
                <w:sz w:val="21"/>
                <w:lang w:val="pl" w:eastAsia="pl-PL"/>
              </w:rPr>
            </w:r>
            <w:r>
              <w:rPr>
                <w:rFonts w:ascii="Verdana" w:eastAsia="Arial" w:hAnsi="Verdana" w:cs="Arial"/>
                <w:noProof/>
                <w:webHidden/>
                <w:sz w:val="21"/>
                <w:lang w:val="pl" w:eastAsia="pl-PL"/>
              </w:rPr>
              <w:fldChar w:fldCharType="separate"/>
            </w:r>
            <w:r>
              <w:rPr>
                <w:rFonts w:ascii="Verdana" w:eastAsia="Arial" w:hAnsi="Verdana" w:cs="Arial"/>
                <w:noProof/>
                <w:webHidden/>
                <w:sz w:val="21"/>
                <w:lang w:val="pl" w:eastAsia="pl-PL"/>
              </w:rPr>
              <w:t>10</w:t>
            </w:r>
            <w:r>
              <w:rPr>
                <w:rFonts w:ascii="Verdana" w:eastAsia="Arial" w:hAnsi="Verdana" w:cs="Arial"/>
                <w:noProof/>
                <w:webHidden/>
                <w:sz w:val="21"/>
                <w:lang w:val="pl" w:eastAsia="pl-PL"/>
              </w:rPr>
              <w:fldChar w:fldCharType="end"/>
            </w:r>
          </w:hyperlink>
        </w:p>
        <w:p>
          <w:pPr>
            <w:tabs>
              <w:tab w:val="right" w:leader="dot" w:pos="9062"/>
            </w:tabs>
            <w:spacing w:after="100" w:line="276" w:lineRule="auto"/>
            <w:rPr>
              <w:rFonts w:eastAsiaTheme="minorEastAsia"/>
              <w:noProof/>
              <w:lang w:eastAsia="pl-PL"/>
            </w:rPr>
          </w:pPr>
          <w:hyperlink w:anchor="_Toc175735242" w:history="1">
            <w:r>
              <w:rPr>
                <w:rFonts w:ascii="Arial Narrow" w:eastAsia="Arial" w:hAnsi="Arial Narrow" w:cs="Arial"/>
                <w:noProof/>
                <w:color w:val="0563C1" w:themeColor="hyperlink"/>
                <w:sz w:val="21"/>
                <w:u w:val="single"/>
                <w:lang w:val="pl" w:eastAsia="pl-PL"/>
              </w:rPr>
              <w:t>Zasady ubiegania się o wsparcie na utworzenie i utrzymanie miejsca pracy w PS/PES</w:t>
            </w:r>
            <w:r>
              <w:rPr>
                <w:rFonts w:ascii="Verdana" w:eastAsia="Arial" w:hAnsi="Verdana" w:cs="Arial"/>
                <w:noProof/>
                <w:webHidden/>
                <w:sz w:val="21"/>
                <w:lang w:val="pl" w:eastAsia="pl-PL"/>
              </w:rPr>
              <w:tab/>
            </w:r>
            <w:r>
              <w:rPr>
                <w:rFonts w:ascii="Verdana" w:eastAsia="Arial" w:hAnsi="Verdana" w:cs="Arial"/>
                <w:noProof/>
                <w:webHidden/>
                <w:sz w:val="21"/>
                <w:lang w:val="pl" w:eastAsia="pl-PL"/>
              </w:rPr>
              <w:fldChar w:fldCharType="begin"/>
            </w:r>
            <w:r>
              <w:rPr>
                <w:rFonts w:ascii="Verdana" w:eastAsia="Arial" w:hAnsi="Verdana" w:cs="Arial"/>
                <w:noProof/>
                <w:webHidden/>
                <w:sz w:val="21"/>
                <w:lang w:val="pl" w:eastAsia="pl-PL"/>
              </w:rPr>
              <w:instrText xml:space="preserve"> PAGEREF _Toc175735242 \h </w:instrText>
            </w:r>
            <w:r>
              <w:rPr>
                <w:rFonts w:ascii="Verdana" w:eastAsia="Arial" w:hAnsi="Verdana" w:cs="Arial"/>
                <w:noProof/>
                <w:webHidden/>
                <w:sz w:val="21"/>
                <w:lang w:val="pl" w:eastAsia="pl-PL"/>
              </w:rPr>
            </w:r>
            <w:r>
              <w:rPr>
                <w:rFonts w:ascii="Verdana" w:eastAsia="Arial" w:hAnsi="Verdana" w:cs="Arial"/>
                <w:noProof/>
                <w:webHidden/>
                <w:sz w:val="21"/>
                <w:lang w:val="pl" w:eastAsia="pl-PL"/>
              </w:rPr>
              <w:fldChar w:fldCharType="separate"/>
            </w:r>
            <w:r>
              <w:rPr>
                <w:rFonts w:ascii="Verdana" w:eastAsia="Arial" w:hAnsi="Verdana" w:cs="Arial"/>
                <w:noProof/>
                <w:webHidden/>
                <w:sz w:val="21"/>
                <w:lang w:val="pl" w:eastAsia="pl-PL"/>
              </w:rPr>
              <w:t>12</w:t>
            </w:r>
            <w:r>
              <w:rPr>
                <w:rFonts w:ascii="Verdana" w:eastAsia="Arial" w:hAnsi="Verdana" w:cs="Arial"/>
                <w:noProof/>
                <w:webHidden/>
                <w:sz w:val="21"/>
                <w:lang w:val="pl" w:eastAsia="pl-PL"/>
              </w:rPr>
              <w:fldChar w:fldCharType="end"/>
            </w:r>
          </w:hyperlink>
        </w:p>
        <w:p>
          <w:pPr>
            <w:tabs>
              <w:tab w:val="right" w:leader="dot" w:pos="9062"/>
            </w:tabs>
            <w:spacing w:after="100" w:line="276" w:lineRule="auto"/>
            <w:rPr>
              <w:rFonts w:eastAsiaTheme="minorEastAsia"/>
              <w:noProof/>
              <w:lang w:eastAsia="pl-PL"/>
            </w:rPr>
          </w:pPr>
          <w:hyperlink w:anchor="_Toc175735243" w:history="1">
            <w:r>
              <w:rPr>
                <w:rFonts w:ascii="Arial Narrow" w:eastAsia="Arial" w:hAnsi="Arial Narrow" w:cs="Arial"/>
                <w:noProof/>
                <w:color w:val="0563C1" w:themeColor="hyperlink"/>
                <w:sz w:val="21"/>
                <w:u w:val="single"/>
                <w:lang w:val="pl" w:eastAsia="pl-PL"/>
              </w:rPr>
              <w:t>Ocena wniosków o przyznanie wsparcia na utworzenie i utrzymanie miejsca pracy</w:t>
            </w:r>
            <w:r>
              <w:rPr>
                <w:rFonts w:ascii="Verdana" w:eastAsia="Arial" w:hAnsi="Verdana" w:cs="Arial"/>
                <w:noProof/>
                <w:webHidden/>
                <w:sz w:val="21"/>
                <w:lang w:val="pl" w:eastAsia="pl-PL"/>
              </w:rPr>
              <w:tab/>
            </w:r>
            <w:r>
              <w:rPr>
                <w:rFonts w:ascii="Verdana" w:eastAsia="Arial" w:hAnsi="Verdana" w:cs="Arial"/>
                <w:noProof/>
                <w:webHidden/>
                <w:sz w:val="21"/>
                <w:lang w:val="pl" w:eastAsia="pl-PL"/>
              </w:rPr>
              <w:fldChar w:fldCharType="begin"/>
            </w:r>
            <w:r>
              <w:rPr>
                <w:rFonts w:ascii="Verdana" w:eastAsia="Arial" w:hAnsi="Verdana" w:cs="Arial"/>
                <w:noProof/>
                <w:webHidden/>
                <w:sz w:val="21"/>
                <w:lang w:val="pl" w:eastAsia="pl-PL"/>
              </w:rPr>
              <w:instrText xml:space="preserve"> PAGEREF _Toc175735243 \h </w:instrText>
            </w:r>
            <w:r>
              <w:rPr>
                <w:rFonts w:ascii="Verdana" w:eastAsia="Arial" w:hAnsi="Verdana" w:cs="Arial"/>
                <w:noProof/>
                <w:webHidden/>
                <w:sz w:val="21"/>
                <w:lang w:val="pl" w:eastAsia="pl-PL"/>
              </w:rPr>
            </w:r>
            <w:r>
              <w:rPr>
                <w:rFonts w:ascii="Verdana" w:eastAsia="Arial" w:hAnsi="Verdana" w:cs="Arial"/>
                <w:noProof/>
                <w:webHidden/>
                <w:sz w:val="21"/>
                <w:lang w:val="pl" w:eastAsia="pl-PL"/>
              </w:rPr>
              <w:fldChar w:fldCharType="separate"/>
            </w:r>
            <w:r>
              <w:rPr>
                <w:rFonts w:ascii="Verdana" w:eastAsia="Arial" w:hAnsi="Verdana" w:cs="Arial"/>
                <w:noProof/>
                <w:webHidden/>
                <w:sz w:val="21"/>
                <w:lang w:val="pl" w:eastAsia="pl-PL"/>
              </w:rPr>
              <w:t>13</w:t>
            </w:r>
            <w:r>
              <w:rPr>
                <w:rFonts w:ascii="Verdana" w:eastAsia="Arial" w:hAnsi="Verdana" w:cs="Arial"/>
                <w:noProof/>
                <w:webHidden/>
                <w:sz w:val="21"/>
                <w:lang w:val="pl" w:eastAsia="pl-PL"/>
              </w:rPr>
              <w:fldChar w:fldCharType="end"/>
            </w:r>
          </w:hyperlink>
        </w:p>
        <w:p>
          <w:pPr>
            <w:tabs>
              <w:tab w:val="right" w:leader="dot" w:pos="9062"/>
            </w:tabs>
            <w:spacing w:after="100" w:line="276" w:lineRule="auto"/>
            <w:rPr>
              <w:rFonts w:eastAsiaTheme="minorEastAsia"/>
              <w:noProof/>
              <w:lang w:eastAsia="pl-PL"/>
            </w:rPr>
          </w:pPr>
          <w:hyperlink w:anchor="_Toc175735244" w:history="1">
            <w:r>
              <w:rPr>
                <w:rFonts w:ascii="Arial Narrow" w:eastAsia="Arial" w:hAnsi="Arial Narrow" w:cs="Arial"/>
                <w:noProof/>
                <w:color w:val="0563C1" w:themeColor="hyperlink"/>
                <w:sz w:val="21"/>
                <w:u w:val="single"/>
                <w:lang w:val="pl" w:eastAsia="pl-PL"/>
              </w:rPr>
              <w:t>Podpisanie umowy o wsparcie finansowe</w:t>
            </w:r>
            <w:r>
              <w:rPr>
                <w:rFonts w:ascii="Verdana" w:eastAsia="Arial" w:hAnsi="Verdana" w:cs="Arial"/>
                <w:noProof/>
                <w:webHidden/>
                <w:sz w:val="21"/>
                <w:lang w:val="pl" w:eastAsia="pl-PL"/>
              </w:rPr>
              <w:tab/>
            </w:r>
            <w:r>
              <w:rPr>
                <w:rFonts w:ascii="Verdana" w:eastAsia="Arial" w:hAnsi="Verdana" w:cs="Arial"/>
                <w:noProof/>
                <w:webHidden/>
                <w:sz w:val="21"/>
                <w:lang w:val="pl" w:eastAsia="pl-PL"/>
              </w:rPr>
              <w:fldChar w:fldCharType="begin"/>
            </w:r>
            <w:r>
              <w:rPr>
                <w:rFonts w:ascii="Verdana" w:eastAsia="Arial" w:hAnsi="Verdana" w:cs="Arial"/>
                <w:noProof/>
                <w:webHidden/>
                <w:sz w:val="21"/>
                <w:lang w:val="pl" w:eastAsia="pl-PL"/>
              </w:rPr>
              <w:instrText xml:space="preserve"> PAGEREF _Toc175735244 \h </w:instrText>
            </w:r>
            <w:r>
              <w:rPr>
                <w:rFonts w:ascii="Verdana" w:eastAsia="Arial" w:hAnsi="Verdana" w:cs="Arial"/>
                <w:noProof/>
                <w:webHidden/>
                <w:sz w:val="21"/>
                <w:lang w:val="pl" w:eastAsia="pl-PL"/>
              </w:rPr>
            </w:r>
            <w:r>
              <w:rPr>
                <w:rFonts w:ascii="Verdana" w:eastAsia="Arial" w:hAnsi="Verdana" w:cs="Arial"/>
                <w:noProof/>
                <w:webHidden/>
                <w:sz w:val="21"/>
                <w:lang w:val="pl" w:eastAsia="pl-PL"/>
              </w:rPr>
              <w:fldChar w:fldCharType="separate"/>
            </w:r>
            <w:r>
              <w:rPr>
                <w:rFonts w:ascii="Verdana" w:eastAsia="Arial" w:hAnsi="Verdana" w:cs="Arial"/>
                <w:noProof/>
                <w:webHidden/>
                <w:sz w:val="21"/>
                <w:lang w:val="pl" w:eastAsia="pl-PL"/>
              </w:rPr>
              <w:t>18</w:t>
            </w:r>
            <w:r>
              <w:rPr>
                <w:rFonts w:ascii="Verdana" w:eastAsia="Arial" w:hAnsi="Verdana" w:cs="Arial"/>
                <w:noProof/>
                <w:webHidden/>
                <w:sz w:val="21"/>
                <w:lang w:val="pl" w:eastAsia="pl-PL"/>
              </w:rPr>
              <w:fldChar w:fldCharType="end"/>
            </w:r>
          </w:hyperlink>
        </w:p>
        <w:p>
          <w:pPr>
            <w:tabs>
              <w:tab w:val="right" w:leader="dot" w:pos="9062"/>
            </w:tabs>
            <w:spacing w:after="100" w:line="276" w:lineRule="auto"/>
            <w:rPr>
              <w:rFonts w:eastAsiaTheme="minorEastAsia"/>
              <w:noProof/>
              <w:lang w:eastAsia="pl-PL"/>
            </w:rPr>
          </w:pPr>
          <w:hyperlink w:anchor="_Toc175735245" w:history="1">
            <w:r>
              <w:rPr>
                <w:rFonts w:ascii="Arial Narrow" w:eastAsia="Arial" w:hAnsi="Arial Narrow" w:cs="Arial"/>
                <w:noProof/>
                <w:color w:val="0563C1" w:themeColor="hyperlink"/>
                <w:sz w:val="21"/>
                <w:u w:val="single"/>
                <w:lang w:val="pl" w:eastAsia="pl-PL"/>
              </w:rPr>
              <w:t>Utworzenie i utrzymanie miejsc pracy oraz trwałość PS</w:t>
            </w:r>
            <w:r>
              <w:rPr>
                <w:rFonts w:ascii="Verdana" w:eastAsia="Arial" w:hAnsi="Verdana" w:cs="Arial"/>
                <w:noProof/>
                <w:webHidden/>
                <w:sz w:val="21"/>
                <w:lang w:val="pl" w:eastAsia="pl-PL"/>
              </w:rPr>
              <w:tab/>
            </w:r>
            <w:r>
              <w:rPr>
                <w:rFonts w:ascii="Verdana" w:eastAsia="Arial" w:hAnsi="Verdana" w:cs="Arial"/>
                <w:noProof/>
                <w:webHidden/>
                <w:sz w:val="21"/>
                <w:lang w:val="pl" w:eastAsia="pl-PL"/>
              </w:rPr>
              <w:fldChar w:fldCharType="begin"/>
            </w:r>
            <w:r>
              <w:rPr>
                <w:rFonts w:ascii="Verdana" w:eastAsia="Arial" w:hAnsi="Verdana" w:cs="Arial"/>
                <w:noProof/>
                <w:webHidden/>
                <w:sz w:val="21"/>
                <w:lang w:val="pl" w:eastAsia="pl-PL"/>
              </w:rPr>
              <w:instrText xml:space="preserve"> PAGEREF _Toc175735245 \h </w:instrText>
            </w:r>
            <w:r>
              <w:rPr>
                <w:rFonts w:ascii="Verdana" w:eastAsia="Arial" w:hAnsi="Verdana" w:cs="Arial"/>
                <w:noProof/>
                <w:webHidden/>
                <w:sz w:val="21"/>
                <w:lang w:val="pl" w:eastAsia="pl-PL"/>
              </w:rPr>
            </w:r>
            <w:r>
              <w:rPr>
                <w:rFonts w:ascii="Verdana" w:eastAsia="Arial" w:hAnsi="Verdana" w:cs="Arial"/>
                <w:noProof/>
                <w:webHidden/>
                <w:sz w:val="21"/>
                <w:lang w:val="pl" w:eastAsia="pl-PL"/>
              </w:rPr>
              <w:fldChar w:fldCharType="separate"/>
            </w:r>
            <w:r>
              <w:rPr>
                <w:rFonts w:ascii="Verdana" w:eastAsia="Arial" w:hAnsi="Verdana" w:cs="Arial"/>
                <w:noProof/>
                <w:webHidden/>
                <w:sz w:val="21"/>
                <w:lang w:val="pl" w:eastAsia="pl-PL"/>
              </w:rPr>
              <w:t>21</w:t>
            </w:r>
            <w:r>
              <w:rPr>
                <w:rFonts w:ascii="Verdana" w:eastAsia="Arial" w:hAnsi="Verdana" w:cs="Arial"/>
                <w:noProof/>
                <w:webHidden/>
                <w:sz w:val="21"/>
                <w:lang w:val="pl" w:eastAsia="pl-PL"/>
              </w:rPr>
              <w:fldChar w:fldCharType="end"/>
            </w:r>
          </w:hyperlink>
        </w:p>
        <w:p>
          <w:pPr>
            <w:tabs>
              <w:tab w:val="right" w:leader="dot" w:pos="9062"/>
            </w:tabs>
            <w:spacing w:after="100" w:line="276" w:lineRule="auto"/>
            <w:rPr>
              <w:rFonts w:eastAsiaTheme="minorEastAsia"/>
              <w:noProof/>
              <w:lang w:eastAsia="pl-PL"/>
            </w:rPr>
          </w:pPr>
          <w:hyperlink w:anchor="_Toc175735246" w:history="1">
            <w:r>
              <w:rPr>
                <w:rFonts w:ascii="Arial Narrow" w:eastAsia="Arial" w:hAnsi="Arial Narrow" w:cs="Arial"/>
                <w:noProof/>
                <w:color w:val="0563C1" w:themeColor="hyperlink"/>
                <w:sz w:val="21"/>
                <w:u w:val="single"/>
                <w:lang w:val="pl" w:eastAsia="pl-PL"/>
              </w:rPr>
              <w:t>Monitoring i kontrola</w:t>
            </w:r>
            <w:r>
              <w:rPr>
                <w:rFonts w:ascii="Verdana" w:eastAsia="Arial" w:hAnsi="Verdana" w:cs="Arial"/>
                <w:noProof/>
                <w:webHidden/>
                <w:sz w:val="21"/>
                <w:lang w:val="pl" w:eastAsia="pl-PL"/>
              </w:rPr>
              <w:tab/>
            </w:r>
            <w:r>
              <w:rPr>
                <w:rFonts w:ascii="Verdana" w:eastAsia="Arial" w:hAnsi="Verdana" w:cs="Arial"/>
                <w:noProof/>
                <w:webHidden/>
                <w:sz w:val="21"/>
                <w:lang w:val="pl" w:eastAsia="pl-PL"/>
              </w:rPr>
              <w:fldChar w:fldCharType="begin"/>
            </w:r>
            <w:r>
              <w:rPr>
                <w:rFonts w:ascii="Verdana" w:eastAsia="Arial" w:hAnsi="Verdana" w:cs="Arial"/>
                <w:noProof/>
                <w:webHidden/>
                <w:sz w:val="21"/>
                <w:lang w:val="pl" w:eastAsia="pl-PL"/>
              </w:rPr>
              <w:instrText xml:space="preserve"> PAGEREF _Toc175735246 \h </w:instrText>
            </w:r>
            <w:r>
              <w:rPr>
                <w:rFonts w:ascii="Verdana" w:eastAsia="Arial" w:hAnsi="Verdana" w:cs="Arial"/>
                <w:noProof/>
                <w:webHidden/>
                <w:sz w:val="21"/>
                <w:lang w:val="pl" w:eastAsia="pl-PL"/>
              </w:rPr>
            </w:r>
            <w:r>
              <w:rPr>
                <w:rFonts w:ascii="Verdana" w:eastAsia="Arial" w:hAnsi="Verdana" w:cs="Arial"/>
                <w:noProof/>
                <w:webHidden/>
                <w:sz w:val="21"/>
                <w:lang w:val="pl" w:eastAsia="pl-PL"/>
              </w:rPr>
              <w:fldChar w:fldCharType="separate"/>
            </w:r>
            <w:r>
              <w:rPr>
                <w:rFonts w:ascii="Verdana" w:eastAsia="Arial" w:hAnsi="Verdana" w:cs="Arial"/>
                <w:noProof/>
                <w:webHidden/>
                <w:sz w:val="21"/>
                <w:lang w:val="pl" w:eastAsia="pl-PL"/>
              </w:rPr>
              <w:t>24</w:t>
            </w:r>
            <w:r>
              <w:rPr>
                <w:rFonts w:ascii="Verdana" w:eastAsia="Arial" w:hAnsi="Verdana" w:cs="Arial"/>
                <w:noProof/>
                <w:webHidden/>
                <w:sz w:val="21"/>
                <w:lang w:val="pl" w:eastAsia="pl-PL"/>
              </w:rPr>
              <w:fldChar w:fldCharType="end"/>
            </w:r>
          </w:hyperlink>
        </w:p>
        <w:p>
          <w:pPr>
            <w:tabs>
              <w:tab w:val="right" w:leader="dot" w:pos="9062"/>
            </w:tabs>
            <w:spacing w:after="100" w:line="276" w:lineRule="auto"/>
            <w:rPr>
              <w:rFonts w:eastAsiaTheme="minorEastAsia"/>
              <w:noProof/>
              <w:lang w:eastAsia="pl-PL"/>
            </w:rPr>
          </w:pPr>
          <w:hyperlink w:anchor="_Toc175735247" w:history="1">
            <w:r>
              <w:rPr>
                <w:rFonts w:ascii="Arial Narrow" w:eastAsia="Arial" w:hAnsi="Arial Narrow" w:cs="Arial"/>
                <w:noProof/>
                <w:color w:val="0563C1" w:themeColor="hyperlink"/>
                <w:sz w:val="21"/>
                <w:u w:val="single"/>
                <w:lang w:val="pl" w:eastAsia="pl-PL"/>
              </w:rPr>
              <w:t>Zwrot środków</w:t>
            </w:r>
            <w:r>
              <w:rPr>
                <w:rFonts w:ascii="Verdana" w:eastAsia="Arial" w:hAnsi="Verdana" w:cs="Arial"/>
                <w:noProof/>
                <w:webHidden/>
                <w:sz w:val="21"/>
                <w:lang w:val="pl" w:eastAsia="pl-PL"/>
              </w:rPr>
              <w:tab/>
            </w:r>
            <w:r>
              <w:rPr>
                <w:rFonts w:ascii="Verdana" w:eastAsia="Arial" w:hAnsi="Verdana" w:cs="Arial"/>
                <w:noProof/>
                <w:webHidden/>
                <w:sz w:val="21"/>
                <w:lang w:val="pl" w:eastAsia="pl-PL"/>
              </w:rPr>
              <w:fldChar w:fldCharType="begin"/>
            </w:r>
            <w:r>
              <w:rPr>
                <w:rFonts w:ascii="Verdana" w:eastAsia="Arial" w:hAnsi="Verdana" w:cs="Arial"/>
                <w:noProof/>
                <w:webHidden/>
                <w:sz w:val="21"/>
                <w:lang w:val="pl" w:eastAsia="pl-PL"/>
              </w:rPr>
              <w:instrText xml:space="preserve"> PAGEREF _Toc175735247 \h </w:instrText>
            </w:r>
            <w:r>
              <w:rPr>
                <w:rFonts w:ascii="Verdana" w:eastAsia="Arial" w:hAnsi="Verdana" w:cs="Arial"/>
                <w:noProof/>
                <w:webHidden/>
                <w:sz w:val="21"/>
                <w:lang w:val="pl" w:eastAsia="pl-PL"/>
              </w:rPr>
            </w:r>
            <w:r>
              <w:rPr>
                <w:rFonts w:ascii="Verdana" w:eastAsia="Arial" w:hAnsi="Verdana" w:cs="Arial"/>
                <w:noProof/>
                <w:webHidden/>
                <w:sz w:val="21"/>
                <w:lang w:val="pl" w:eastAsia="pl-PL"/>
              </w:rPr>
              <w:fldChar w:fldCharType="separate"/>
            </w:r>
            <w:r>
              <w:rPr>
                <w:rFonts w:ascii="Verdana" w:eastAsia="Arial" w:hAnsi="Verdana" w:cs="Arial"/>
                <w:noProof/>
                <w:webHidden/>
                <w:sz w:val="21"/>
                <w:lang w:val="pl" w:eastAsia="pl-PL"/>
              </w:rPr>
              <w:t>25</w:t>
            </w:r>
            <w:r>
              <w:rPr>
                <w:rFonts w:ascii="Verdana" w:eastAsia="Arial" w:hAnsi="Verdana" w:cs="Arial"/>
                <w:noProof/>
                <w:webHidden/>
                <w:sz w:val="21"/>
                <w:lang w:val="pl" w:eastAsia="pl-PL"/>
              </w:rPr>
              <w:fldChar w:fldCharType="end"/>
            </w:r>
          </w:hyperlink>
        </w:p>
        <w:p>
          <w:pPr>
            <w:tabs>
              <w:tab w:val="right" w:leader="dot" w:pos="9062"/>
            </w:tabs>
            <w:spacing w:after="100" w:line="276" w:lineRule="auto"/>
            <w:rPr>
              <w:rFonts w:eastAsiaTheme="minorEastAsia"/>
              <w:noProof/>
              <w:lang w:eastAsia="pl-PL"/>
            </w:rPr>
          </w:pPr>
          <w:hyperlink w:anchor="_Toc175735248" w:history="1">
            <w:r>
              <w:rPr>
                <w:rFonts w:ascii="Arial Narrow" w:eastAsia="Arial" w:hAnsi="Arial Narrow" w:cs="Arial"/>
                <w:noProof/>
                <w:color w:val="0563C1" w:themeColor="hyperlink"/>
                <w:sz w:val="21"/>
                <w:u w:val="single"/>
                <w:lang w:val="pl" w:eastAsia="pl-PL"/>
              </w:rPr>
              <w:t>Zasady dotyczące weryfikacji braku podwójnego finansowania</w:t>
            </w:r>
            <w:r>
              <w:rPr>
                <w:rFonts w:ascii="Verdana" w:eastAsia="Arial" w:hAnsi="Verdana" w:cs="Arial"/>
                <w:noProof/>
                <w:webHidden/>
                <w:sz w:val="21"/>
                <w:lang w:val="pl" w:eastAsia="pl-PL"/>
              </w:rPr>
              <w:tab/>
            </w:r>
            <w:r>
              <w:rPr>
                <w:rFonts w:ascii="Verdana" w:eastAsia="Arial" w:hAnsi="Verdana" w:cs="Arial"/>
                <w:noProof/>
                <w:webHidden/>
                <w:sz w:val="21"/>
                <w:lang w:val="pl" w:eastAsia="pl-PL"/>
              </w:rPr>
              <w:fldChar w:fldCharType="begin"/>
            </w:r>
            <w:r>
              <w:rPr>
                <w:rFonts w:ascii="Verdana" w:eastAsia="Arial" w:hAnsi="Verdana" w:cs="Arial"/>
                <w:noProof/>
                <w:webHidden/>
                <w:sz w:val="21"/>
                <w:lang w:val="pl" w:eastAsia="pl-PL"/>
              </w:rPr>
              <w:instrText xml:space="preserve"> PAGEREF _Toc175735248 \h </w:instrText>
            </w:r>
            <w:r>
              <w:rPr>
                <w:rFonts w:ascii="Verdana" w:eastAsia="Arial" w:hAnsi="Verdana" w:cs="Arial"/>
                <w:noProof/>
                <w:webHidden/>
                <w:sz w:val="21"/>
                <w:lang w:val="pl" w:eastAsia="pl-PL"/>
              </w:rPr>
            </w:r>
            <w:r>
              <w:rPr>
                <w:rFonts w:ascii="Verdana" w:eastAsia="Arial" w:hAnsi="Verdana" w:cs="Arial"/>
                <w:noProof/>
                <w:webHidden/>
                <w:sz w:val="21"/>
                <w:lang w:val="pl" w:eastAsia="pl-PL"/>
              </w:rPr>
              <w:fldChar w:fldCharType="separate"/>
            </w:r>
            <w:r>
              <w:rPr>
                <w:rFonts w:ascii="Verdana" w:eastAsia="Arial" w:hAnsi="Verdana" w:cs="Arial"/>
                <w:noProof/>
                <w:webHidden/>
                <w:sz w:val="21"/>
                <w:lang w:val="pl" w:eastAsia="pl-PL"/>
              </w:rPr>
              <w:t>26</w:t>
            </w:r>
            <w:r>
              <w:rPr>
                <w:rFonts w:ascii="Verdana" w:eastAsia="Arial" w:hAnsi="Verdana" w:cs="Arial"/>
                <w:noProof/>
                <w:webHidden/>
                <w:sz w:val="21"/>
                <w:lang w:val="pl" w:eastAsia="pl-PL"/>
              </w:rPr>
              <w:fldChar w:fldCharType="end"/>
            </w:r>
          </w:hyperlink>
        </w:p>
        <w:p>
          <w:pPr>
            <w:tabs>
              <w:tab w:val="right" w:leader="dot" w:pos="9062"/>
            </w:tabs>
            <w:spacing w:after="100" w:line="276" w:lineRule="auto"/>
            <w:rPr>
              <w:rFonts w:eastAsiaTheme="minorEastAsia"/>
              <w:noProof/>
              <w:lang w:eastAsia="pl-PL"/>
            </w:rPr>
          </w:pPr>
          <w:hyperlink w:anchor="_Toc175735249" w:history="1">
            <w:r>
              <w:rPr>
                <w:rFonts w:ascii="Arial Narrow" w:eastAsia="Arial" w:hAnsi="Arial Narrow" w:cs="Arial"/>
                <w:noProof/>
                <w:color w:val="0563C1" w:themeColor="hyperlink"/>
                <w:sz w:val="21"/>
                <w:u w:val="single"/>
                <w:lang w:val="pl" w:eastAsia="pl-PL"/>
              </w:rPr>
              <w:t>Wsparcie reintegracyjne – zasady ogólne</w:t>
            </w:r>
            <w:r>
              <w:rPr>
                <w:rFonts w:ascii="Verdana" w:eastAsia="Arial" w:hAnsi="Verdana" w:cs="Arial"/>
                <w:noProof/>
                <w:webHidden/>
                <w:sz w:val="21"/>
                <w:lang w:val="pl" w:eastAsia="pl-PL"/>
              </w:rPr>
              <w:tab/>
            </w:r>
            <w:r>
              <w:rPr>
                <w:rFonts w:ascii="Verdana" w:eastAsia="Arial" w:hAnsi="Verdana" w:cs="Arial"/>
                <w:noProof/>
                <w:webHidden/>
                <w:sz w:val="21"/>
                <w:lang w:val="pl" w:eastAsia="pl-PL"/>
              </w:rPr>
              <w:fldChar w:fldCharType="begin"/>
            </w:r>
            <w:r>
              <w:rPr>
                <w:rFonts w:ascii="Verdana" w:eastAsia="Arial" w:hAnsi="Verdana" w:cs="Arial"/>
                <w:noProof/>
                <w:webHidden/>
                <w:sz w:val="21"/>
                <w:lang w:val="pl" w:eastAsia="pl-PL"/>
              </w:rPr>
              <w:instrText xml:space="preserve"> PAGEREF _Toc175735249 \h </w:instrText>
            </w:r>
            <w:r>
              <w:rPr>
                <w:rFonts w:ascii="Verdana" w:eastAsia="Arial" w:hAnsi="Verdana" w:cs="Arial"/>
                <w:noProof/>
                <w:webHidden/>
                <w:sz w:val="21"/>
                <w:lang w:val="pl" w:eastAsia="pl-PL"/>
              </w:rPr>
            </w:r>
            <w:r>
              <w:rPr>
                <w:rFonts w:ascii="Verdana" w:eastAsia="Arial" w:hAnsi="Verdana" w:cs="Arial"/>
                <w:noProof/>
                <w:webHidden/>
                <w:sz w:val="21"/>
                <w:lang w:val="pl" w:eastAsia="pl-PL"/>
              </w:rPr>
              <w:fldChar w:fldCharType="separate"/>
            </w:r>
            <w:r>
              <w:rPr>
                <w:rFonts w:ascii="Verdana" w:eastAsia="Arial" w:hAnsi="Verdana" w:cs="Arial"/>
                <w:noProof/>
                <w:webHidden/>
                <w:sz w:val="21"/>
                <w:lang w:val="pl" w:eastAsia="pl-PL"/>
              </w:rPr>
              <w:t>27</w:t>
            </w:r>
            <w:r>
              <w:rPr>
                <w:rFonts w:ascii="Verdana" w:eastAsia="Arial" w:hAnsi="Verdana" w:cs="Arial"/>
                <w:noProof/>
                <w:webHidden/>
                <w:sz w:val="21"/>
                <w:lang w:val="pl" w:eastAsia="pl-PL"/>
              </w:rPr>
              <w:fldChar w:fldCharType="end"/>
            </w:r>
          </w:hyperlink>
        </w:p>
        <w:p>
          <w:pPr>
            <w:tabs>
              <w:tab w:val="right" w:leader="dot" w:pos="9062"/>
            </w:tabs>
            <w:spacing w:after="100" w:line="276" w:lineRule="auto"/>
            <w:rPr>
              <w:rFonts w:eastAsiaTheme="minorEastAsia"/>
              <w:noProof/>
              <w:lang w:eastAsia="pl-PL"/>
            </w:rPr>
          </w:pPr>
          <w:hyperlink w:anchor="_Toc175735250" w:history="1">
            <w:r>
              <w:rPr>
                <w:rFonts w:ascii="Arial Narrow" w:eastAsia="Arial" w:hAnsi="Arial Narrow" w:cs="Arial"/>
                <w:noProof/>
                <w:color w:val="0563C1" w:themeColor="hyperlink"/>
                <w:sz w:val="21"/>
                <w:u w:val="single"/>
                <w:lang w:val="pl" w:eastAsia="pl-PL"/>
              </w:rPr>
              <w:t>Procedura udzielania wsparcia reintegracyjnego</w:t>
            </w:r>
            <w:r>
              <w:rPr>
                <w:rFonts w:ascii="Verdana" w:eastAsia="Arial" w:hAnsi="Verdana" w:cs="Arial"/>
                <w:noProof/>
                <w:webHidden/>
                <w:sz w:val="21"/>
                <w:lang w:val="pl" w:eastAsia="pl-PL"/>
              </w:rPr>
              <w:tab/>
            </w:r>
            <w:r>
              <w:rPr>
                <w:rFonts w:ascii="Verdana" w:eastAsia="Arial" w:hAnsi="Verdana" w:cs="Arial"/>
                <w:noProof/>
                <w:webHidden/>
                <w:sz w:val="21"/>
                <w:lang w:val="pl" w:eastAsia="pl-PL"/>
              </w:rPr>
              <w:fldChar w:fldCharType="begin"/>
            </w:r>
            <w:r>
              <w:rPr>
                <w:rFonts w:ascii="Verdana" w:eastAsia="Arial" w:hAnsi="Verdana" w:cs="Arial"/>
                <w:noProof/>
                <w:webHidden/>
                <w:sz w:val="21"/>
                <w:lang w:val="pl" w:eastAsia="pl-PL"/>
              </w:rPr>
              <w:instrText xml:space="preserve"> PAGEREF _Toc175735250 \h </w:instrText>
            </w:r>
            <w:r>
              <w:rPr>
                <w:rFonts w:ascii="Verdana" w:eastAsia="Arial" w:hAnsi="Verdana" w:cs="Arial"/>
                <w:noProof/>
                <w:webHidden/>
                <w:sz w:val="21"/>
                <w:lang w:val="pl" w:eastAsia="pl-PL"/>
              </w:rPr>
            </w:r>
            <w:r>
              <w:rPr>
                <w:rFonts w:ascii="Verdana" w:eastAsia="Arial" w:hAnsi="Verdana" w:cs="Arial"/>
                <w:noProof/>
                <w:webHidden/>
                <w:sz w:val="21"/>
                <w:lang w:val="pl" w:eastAsia="pl-PL"/>
              </w:rPr>
              <w:fldChar w:fldCharType="separate"/>
            </w:r>
            <w:r>
              <w:rPr>
                <w:rFonts w:ascii="Verdana" w:eastAsia="Arial" w:hAnsi="Verdana" w:cs="Arial"/>
                <w:noProof/>
                <w:webHidden/>
                <w:sz w:val="21"/>
                <w:lang w:val="pl" w:eastAsia="pl-PL"/>
              </w:rPr>
              <w:t>28</w:t>
            </w:r>
            <w:r>
              <w:rPr>
                <w:rFonts w:ascii="Verdana" w:eastAsia="Arial" w:hAnsi="Verdana" w:cs="Arial"/>
                <w:noProof/>
                <w:webHidden/>
                <w:sz w:val="21"/>
                <w:lang w:val="pl" w:eastAsia="pl-PL"/>
              </w:rPr>
              <w:fldChar w:fldCharType="end"/>
            </w:r>
          </w:hyperlink>
        </w:p>
        <w:p>
          <w:pPr>
            <w:spacing w:after="0" w:line="276" w:lineRule="auto"/>
            <w:rPr>
              <w:rFonts w:ascii="Arial Narrow" w:eastAsia="Arial" w:hAnsi="Arial Narrow" w:cs="Arial"/>
              <w:lang w:val="pl" w:eastAsia="pl-PL"/>
            </w:rPr>
          </w:pPr>
          <w:r>
            <w:rPr>
              <w:rFonts w:ascii="Arial Narrow" w:eastAsia="Arial" w:hAnsi="Arial Narrow" w:cs="Arial"/>
              <w:b/>
              <w:bCs/>
              <w:lang w:val="pl" w:eastAsia="pl-PL"/>
            </w:rPr>
            <w:fldChar w:fldCharType="end"/>
          </w:r>
        </w:p>
      </w:sdtContent>
    </w:sdt>
    <w:p>
      <w:pPr>
        <w:shd w:val="clear" w:color="auto" w:fill="FFFFFF"/>
        <w:spacing w:after="0" w:line="360" w:lineRule="auto"/>
        <w:ind w:right="-40"/>
        <w:rPr>
          <w:rFonts w:ascii="Arial Narrow" w:eastAsia="Tahoma" w:hAnsi="Arial Narrow" w:cs="Tahoma"/>
          <w:b/>
          <w:lang w:val="pl" w:eastAsia="pl-PL"/>
        </w:rPr>
      </w:pPr>
      <w:r>
        <w:rPr>
          <w:rFonts w:ascii="Arial Narrow" w:eastAsia="Tahoma" w:hAnsi="Arial Narrow" w:cs="Tahoma"/>
          <w:b/>
          <w:lang w:val="pl" w:eastAsia="pl-PL"/>
        </w:rPr>
        <w:br w:type="page"/>
      </w:r>
    </w:p>
    <w:p>
      <w:pPr>
        <w:keepNext/>
        <w:keepLines/>
        <w:spacing w:before="400" w:after="120" w:line="276" w:lineRule="auto"/>
        <w:jc w:val="both"/>
        <w:outlineLvl w:val="0"/>
        <w:rPr>
          <w:rFonts w:ascii="Arial Narrow" w:eastAsia="Arial" w:hAnsi="Arial Narrow" w:cs="Arial"/>
          <w:b/>
          <w:lang w:val="pl" w:eastAsia="pl-PL"/>
        </w:rPr>
      </w:pPr>
      <w:bookmarkStart w:id="0" w:name="_gjdgxs" w:colFirst="0" w:colLast="0"/>
      <w:bookmarkStart w:id="1" w:name="_Toc153785481"/>
      <w:bookmarkStart w:id="2" w:name="_Toc156316883"/>
      <w:bookmarkStart w:id="3" w:name="_Toc175735238"/>
      <w:bookmarkEnd w:id="0"/>
      <w:r>
        <w:rPr>
          <w:rFonts w:ascii="Arial Narrow" w:eastAsia="Arial" w:hAnsi="Arial Narrow" w:cs="Arial"/>
          <w:b/>
          <w:lang w:val="pl" w:eastAsia="pl-PL"/>
        </w:rPr>
        <w:lastRenderedPageBreak/>
        <w:t>Słownik pojęć</w:t>
      </w:r>
      <w:bookmarkEnd w:id="1"/>
      <w:bookmarkEnd w:id="2"/>
      <w:bookmarkEnd w:id="3"/>
    </w:p>
    <w:p>
      <w:pPr>
        <w:shd w:val="clear" w:color="auto" w:fill="FFFFFF"/>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Ilekroć w niniejszym Regulaminie jest mowa o:</w:t>
      </w:r>
    </w:p>
    <w:p>
      <w:pPr>
        <w:numPr>
          <w:ilvl w:val="0"/>
          <w:numId w:val="8"/>
        </w:numPr>
        <w:shd w:val="clear" w:color="auto" w:fill="FFFFFF"/>
        <w:spacing w:after="0" w:line="360" w:lineRule="auto"/>
        <w:ind w:right="-40"/>
        <w:jc w:val="both"/>
        <w:rPr>
          <w:rFonts w:ascii="Arial Narrow" w:eastAsia="Tahoma" w:hAnsi="Arial Narrow" w:cs="Tahoma"/>
          <w:lang w:val="pl" w:eastAsia="pl-PL"/>
        </w:rPr>
      </w:pPr>
      <w:r>
        <w:rPr>
          <w:rFonts w:ascii="Arial Narrow" w:eastAsia="Tahoma" w:hAnsi="Arial Narrow" w:cs="Tahoma"/>
          <w:b/>
          <w:lang w:val="pl" w:eastAsia="pl-PL"/>
        </w:rPr>
        <w:t>Biznesplanie</w:t>
      </w:r>
      <w:r>
        <w:rPr>
          <w:rFonts w:ascii="Arial Narrow" w:eastAsia="Tahoma" w:hAnsi="Arial Narrow" w:cs="Tahoma"/>
          <w:lang w:val="pl" w:eastAsia="pl-PL"/>
        </w:rPr>
        <w:t xml:space="preserve"> – należy przez to rozumieć podlegający ocenie pomysł na biznes, składany przez GI/PES/PS według wzoru stanowiącego integralną część wniosku o udzielenie wsparcia finansowego na utworzenie </w:t>
      </w:r>
      <w:r>
        <w:rPr>
          <w:rFonts w:ascii="Arial Narrow" w:eastAsia="Tahoma" w:hAnsi="Arial Narrow" w:cs="Tahoma"/>
          <w:lang w:val="pl" w:eastAsia="pl-PL"/>
        </w:rPr>
        <w:br/>
        <w:t>i utrzymanie miejsc pracy (odrębne wzory dla nowopowstających PS oraz dla istniejących PS/PES przekształcających się w PS).</w:t>
      </w:r>
    </w:p>
    <w:p>
      <w:pPr>
        <w:numPr>
          <w:ilvl w:val="0"/>
          <w:numId w:val="8"/>
        </w:numPr>
        <w:shd w:val="clear" w:color="auto" w:fill="FFFFFF"/>
        <w:spacing w:after="0" w:line="360" w:lineRule="auto"/>
        <w:ind w:right="-40"/>
        <w:jc w:val="both"/>
        <w:rPr>
          <w:rFonts w:ascii="Arial Narrow" w:eastAsia="Tahoma" w:hAnsi="Arial Narrow" w:cs="Tahoma"/>
          <w:lang w:val="pl" w:eastAsia="pl-PL"/>
        </w:rPr>
      </w:pPr>
      <w:r>
        <w:rPr>
          <w:rFonts w:ascii="Arial Narrow" w:eastAsia="Tahoma" w:hAnsi="Arial Narrow" w:cs="Tahoma"/>
          <w:b/>
          <w:lang w:val="pl" w:eastAsia="pl-PL"/>
        </w:rPr>
        <w:t>Grupie</w:t>
      </w:r>
      <w:r>
        <w:rPr>
          <w:rFonts w:ascii="Arial Narrow" w:eastAsia="Tahoma" w:hAnsi="Arial Narrow" w:cs="Tahoma"/>
          <w:lang w:val="pl" w:eastAsia="pl-PL"/>
        </w:rPr>
        <w:t xml:space="preserve"> </w:t>
      </w:r>
      <w:r>
        <w:rPr>
          <w:rFonts w:ascii="Arial Narrow" w:eastAsia="Tahoma" w:hAnsi="Arial Narrow" w:cs="Tahoma"/>
          <w:b/>
          <w:lang w:val="pl" w:eastAsia="pl-PL"/>
        </w:rPr>
        <w:t>Inicjatywnej (GI)</w:t>
      </w:r>
      <w:r>
        <w:rPr>
          <w:rFonts w:ascii="Arial Narrow" w:eastAsia="Tahoma" w:hAnsi="Arial Narrow" w:cs="Tahoma"/>
          <w:lang w:val="pl" w:eastAsia="pl-PL"/>
        </w:rPr>
        <w:t xml:space="preserve"> – należy przez to rozumieć osoby fizyczne lub prawne, które w toku wsparcia OWES wypracowują założenia co do utworzenia PS. </w:t>
      </w:r>
    </w:p>
    <w:p>
      <w:pPr>
        <w:numPr>
          <w:ilvl w:val="0"/>
          <w:numId w:val="8"/>
        </w:numPr>
        <w:shd w:val="clear" w:color="auto" w:fill="FFFFFF"/>
        <w:spacing w:after="0" w:line="360" w:lineRule="auto"/>
        <w:ind w:right="-40"/>
        <w:jc w:val="both"/>
        <w:rPr>
          <w:rFonts w:ascii="Arial Narrow" w:eastAsia="Tahoma" w:hAnsi="Arial Narrow" w:cs="Tahoma"/>
          <w:lang w:val="pl" w:eastAsia="pl-PL"/>
        </w:rPr>
      </w:pPr>
      <w:r>
        <w:rPr>
          <w:rFonts w:ascii="Arial Narrow" w:eastAsia="Tahoma" w:hAnsi="Arial Narrow" w:cs="Tahoma"/>
          <w:b/>
          <w:lang w:val="pl" w:eastAsia="pl-PL"/>
        </w:rPr>
        <w:t>Indywidualnym planie reintegracyjnym (IPR)</w:t>
      </w:r>
      <w:r>
        <w:rPr>
          <w:rFonts w:ascii="Arial Narrow" w:eastAsia="Tahoma" w:hAnsi="Arial Narrow" w:cs="Tahoma"/>
          <w:lang w:val="pl" w:eastAsia="pl-PL"/>
        </w:rPr>
        <w:t xml:space="preserve"> – należy przez to rozumieć dokument, który został opracowany przez PS przy aktywnym uczestnictwie osoby zagrożonej wykluczeniem społecznym i ma na celu podniesienie kwalifikacji zawodowych i kompetencji społecznych tej osoby. IPR zawiera w szczególności informacje </w:t>
      </w:r>
      <w:r>
        <w:rPr>
          <w:rFonts w:ascii="Arial Narrow" w:eastAsia="Tahoma" w:hAnsi="Arial Narrow" w:cs="Tahoma"/>
          <w:lang w:val="pl" w:eastAsia="pl-PL"/>
        </w:rPr>
        <w:br/>
        <w:t xml:space="preserve">o sytuacji społecznej i zawodowej osoby zagrożonej wykluczeniem społecznym, planowanych działaniach </w:t>
      </w:r>
      <w:r>
        <w:rPr>
          <w:rFonts w:ascii="Arial Narrow" w:eastAsia="Tahoma" w:hAnsi="Arial Narrow" w:cs="Tahoma"/>
          <w:lang w:val="pl" w:eastAsia="pl-PL"/>
        </w:rPr>
        <w:br/>
        <w:t>z zakresu reintegracji społecznej i zawodowej, zakładanych efektach planowanych działań z zakresu reintegracji społecznej i zawodowej oraz sposobie ich oceny.</w:t>
      </w:r>
    </w:p>
    <w:p>
      <w:pPr>
        <w:numPr>
          <w:ilvl w:val="0"/>
          <w:numId w:val="8"/>
        </w:numPr>
        <w:shd w:val="clear" w:color="auto" w:fill="FFFFFF"/>
        <w:spacing w:after="0" w:line="360" w:lineRule="auto"/>
        <w:ind w:right="-40"/>
        <w:jc w:val="both"/>
        <w:rPr>
          <w:rFonts w:ascii="Arial Narrow" w:eastAsia="Tahoma" w:hAnsi="Arial Narrow" w:cs="Tahoma"/>
          <w:lang w:val="pl" w:eastAsia="pl-PL"/>
        </w:rPr>
      </w:pPr>
      <w:r>
        <w:rPr>
          <w:rFonts w:ascii="Arial Narrow" w:eastAsia="Tahoma" w:hAnsi="Arial Narrow" w:cs="Tahoma"/>
          <w:b/>
          <w:lang w:val="pl" w:eastAsia="pl-PL"/>
        </w:rPr>
        <w:t>Instytucji Zarządzającej (IZ)</w:t>
      </w:r>
      <w:r>
        <w:rPr>
          <w:rFonts w:ascii="Arial Narrow" w:eastAsia="Tahoma" w:hAnsi="Arial Narrow" w:cs="Tahoma"/>
          <w:lang w:val="pl" w:eastAsia="pl-PL"/>
        </w:rPr>
        <w:t xml:space="preserve"> – należy przez to rozumieć Instytucję Zarządzającą Programem </w:t>
      </w:r>
      <w:r>
        <w:rPr>
          <w:rFonts w:ascii="Arial Narrow" w:eastAsia="Tahoma" w:hAnsi="Arial Narrow" w:cs="Tahoma"/>
          <w:lang w:val="pl" w:eastAsia="pl-PL"/>
        </w:rPr>
        <w:br/>
      </w:r>
      <w:proofErr w:type="spellStart"/>
      <w:r>
        <w:rPr>
          <w:rFonts w:ascii="Arial Narrow" w:eastAsia="Tahoma" w:hAnsi="Arial Narrow" w:cs="Tahoma"/>
          <w:lang w:val="pl" w:eastAsia="pl-PL"/>
        </w:rPr>
        <w:t>FEWiM</w:t>
      </w:r>
      <w:proofErr w:type="spellEnd"/>
      <w:r>
        <w:rPr>
          <w:rFonts w:ascii="Arial Narrow" w:eastAsia="Tahoma" w:hAnsi="Arial Narrow" w:cs="Tahoma"/>
          <w:lang w:val="pl" w:eastAsia="pl-PL"/>
        </w:rPr>
        <w:t xml:space="preserve"> 2021-2027, tj. Zarząd Województwa Warmińsko-Mazurskiego z siedzibą w Olsztynie przy ul. E. Plater1.</w:t>
      </w:r>
    </w:p>
    <w:p>
      <w:pPr>
        <w:numPr>
          <w:ilvl w:val="0"/>
          <w:numId w:val="8"/>
        </w:numPr>
        <w:shd w:val="clear" w:color="auto" w:fill="FFFFFF"/>
        <w:spacing w:after="0" w:line="360" w:lineRule="auto"/>
        <w:ind w:right="-40"/>
        <w:jc w:val="both"/>
        <w:rPr>
          <w:rFonts w:ascii="Arial Narrow" w:eastAsia="Tahoma" w:hAnsi="Arial Narrow" w:cs="Tahoma"/>
          <w:lang w:val="pl" w:eastAsia="pl-PL"/>
        </w:rPr>
      </w:pPr>
      <w:r>
        <w:rPr>
          <w:rFonts w:ascii="Arial Narrow" w:eastAsia="Tahoma" w:hAnsi="Arial Narrow" w:cs="Tahoma"/>
          <w:b/>
          <w:lang w:val="pl" w:eastAsia="pl-PL"/>
        </w:rPr>
        <w:t>Komisji Oceny Wniosków (KOW)</w:t>
      </w:r>
      <w:r>
        <w:rPr>
          <w:rFonts w:ascii="Arial Narrow" w:eastAsia="Tahoma" w:hAnsi="Arial Narrow" w:cs="Tahoma"/>
          <w:lang w:val="pl" w:eastAsia="pl-PL"/>
        </w:rPr>
        <w:t xml:space="preserve"> – należy przez to rozumieć komisję składającą się z ekspertów powołanych przez Operatora do oceny wniosków o udzielenie wsparcia finansowego na utworzenie i utrzymanie miejsc pracy w PS.</w:t>
      </w:r>
    </w:p>
    <w:p>
      <w:pPr>
        <w:numPr>
          <w:ilvl w:val="0"/>
          <w:numId w:val="8"/>
        </w:numPr>
        <w:shd w:val="clear" w:color="auto" w:fill="FFFFFF"/>
        <w:spacing w:after="0" w:line="360" w:lineRule="auto"/>
        <w:ind w:right="-40"/>
        <w:jc w:val="both"/>
        <w:rPr>
          <w:rFonts w:ascii="Arial Narrow" w:eastAsia="Tahoma" w:hAnsi="Arial Narrow" w:cs="Tahoma"/>
          <w:lang w:val="pl" w:eastAsia="pl-PL"/>
        </w:rPr>
      </w:pPr>
      <w:r>
        <w:rPr>
          <w:rFonts w:ascii="Arial Narrow" w:eastAsia="Tahoma" w:hAnsi="Arial Narrow" w:cs="Tahoma"/>
          <w:b/>
          <w:lang w:val="pl" w:eastAsia="pl-PL"/>
        </w:rPr>
        <w:t>Obszarze realizacji projektu</w:t>
      </w:r>
      <w:r>
        <w:rPr>
          <w:rFonts w:ascii="Arial Narrow" w:eastAsia="Tahoma" w:hAnsi="Arial Narrow" w:cs="Tahoma"/>
          <w:lang w:val="pl" w:eastAsia="pl-PL"/>
        </w:rPr>
        <w:t xml:space="preserve"> – należy przez to rozumieć obszar objęty działalnością OWES, tj. subregion elbląski, obejmujący powiaty: Elbląg, elbląski, braniewski, iławski, ostródzki. </w:t>
      </w:r>
    </w:p>
    <w:p>
      <w:pPr>
        <w:numPr>
          <w:ilvl w:val="0"/>
          <w:numId w:val="8"/>
        </w:numPr>
        <w:shd w:val="clear" w:color="auto" w:fill="FFFFFF"/>
        <w:spacing w:after="0" w:line="360" w:lineRule="auto"/>
        <w:ind w:right="-40"/>
        <w:jc w:val="both"/>
        <w:rPr>
          <w:rFonts w:ascii="Arial Narrow" w:eastAsia="Tahoma" w:hAnsi="Arial Narrow" w:cs="Tahoma"/>
          <w:lang w:val="pl" w:eastAsia="pl-PL"/>
        </w:rPr>
      </w:pPr>
      <w:r>
        <w:rPr>
          <w:rFonts w:ascii="Arial Narrow" w:eastAsia="Tahoma" w:hAnsi="Arial Narrow" w:cs="Tahoma"/>
          <w:b/>
          <w:lang w:val="pl" w:eastAsia="pl-PL"/>
        </w:rPr>
        <w:t>Odbiorcy wsparcia</w:t>
      </w:r>
      <w:r>
        <w:rPr>
          <w:rFonts w:ascii="Arial Narrow" w:eastAsia="Tahoma" w:hAnsi="Arial Narrow" w:cs="Tahoma"/>
          <w:lang w:val="pl" w:eastAsia="pl-PL"/>
        </w:rPr>
        <w:t xml:space="preserve"> – należy przez to rozumieć PS lub PES przekształcający się w PS, z którym Operator zawarł umowę o udzielenie wsparcia finansowego na utworzenie i utrzymanie miejsca pracy lub PS, z którym Operator zawarł umowę o udzielenie wsparcia reintegracyjnego. </w:t>
      </w:r>
    </w:p>
    <w:p>
      <w:pPr>
        <w:numPr>
          <w:ilvl w:val="0"/>
          <w:numId w:val="8"/>
        </w:numPr>
        <w:shd w:val="clear" w:color="auto" w:fill="FFFFFF"/>
        <w:spacing w:after="0" w:line="360" w:lineRule="auto"/>
        <w:ind w:right="-40"/>
        <w:jc w:val="both"/>
        <w:rPr>
          <w:rFonts w:ascii="Arial Narrow" w:eastAsia="Tahoma" w:hAnsi="Arial Narrow" w:cs="Tahoma"/>
          <w:lang w:val="pl" w:eastAsia="pl-PL"/>
        </w:rPr>
      </w:pPr>
      <w:r>
        <w:rPr>
          <w:rFonts w:ascii="Arial Narrow" w:eastAsia="Tahoma" w:hAnsi="Arial Narrow" w:cs="Tahoma"/>
          <w:b/>
          <w:lang w:val="pl" w:eastAsia="pl-PL"/>
        </w:rPr>
        <w:t xml:space="preserve">Operatorze </w:t>
      </w:r>
      <w:r>
        <w:rPr>
          <w:rFonts w:ascii="Arial Narrow" w:eastAsia="Tahoma" w:hAnsi="Arial Narrow" w:cs="Tahoma"/>
          <w:lang w:val="pl" w:eastAsia="pl-PL"/>
        </w:rPr>
        <w:t>– należy przez to rozumieć</w:t>
      </w:r>
      <w:r>
        <w:rPr>
          <w:rFonts w:ascii="Arial Narrow" w:eastAsia="Tahoma" w:hAnsi="Arial Narrow" w:cs="Tahoma"/>
          <w:color w:val="980000"/>
          <w:lang w:val="pl" w:eastAsia="pl-PL"/>
        </w:rPr>
        <w:t xml:space="preserve"> </w:t>
      </w:r>
      <w:r>
        <w:rPr>
          <w:rFonts w:ascii="Arial Narrow" w:eastAsia="Tahoma" w:hAnsi="Arial Narrow" w:cs="Tahoma"/>
          <w:lang w:val="pl" w:eastAsia="pl-PL"/>
        </w:rPr>
        <w:t>Ośrodek Wspierania Inicjatyw Ekonomii Społecznej w Elblągu prowadzony przez Stowarzyszenie ESWIP.</w:t>
      </w:r>
    </w:p>
    <w:p>
      <w:pPr>
        <w:numPr>
          <w:ilvl w:val="0"/>
          <w:numId w:val="8"/>
        </w:numPr>
        <w:shd w:val="clear" w:color="auto" w:fill="FFFFFF"/>
        <w:spacing w:after="0" w:line="360" w:lineRule="auto"/>
        <w:ind w:right="-40"/>
        <w:jc w:val="both"/>
        <w:rPr>
          <w:rFonts w:ascii="Arial Narrow" w:eastAsia="Tahoma" w:hAnsi="Arial Narrow" w:cs="Tahoma"/>
          <w:lang w:val="pl" w:eastAsia="pl-PL"/>
        </w:rPr>
      </w:pPr>
      <w:r>
        <w:rPr>
          <w:rFonts w:ascii="Arial Narrow" w:eastAsia="Tahoma" w:hAnsi="Arial Narrow" w:cs="Tahoma"/>
          <w:b/>
          <w:lang w:val="pl" w:eastAsia="pl-PL"/>
        </w:rPr>
        <w:t xml:space="preserve">Ośrodku Wsparcia Ekonomii Społecznej (OWES) w Elblągu </w:t>
      </w:r>
      <w:r>
        <w:rPr>
          <w:rFonts w:ascii="Arial Narrow" w:eastAsia="Tahoma" w:hAnsi="Arial Narrow" w:cs="Tahoma"/>
          <w:lang w:val="pl" w:eastAsia="pl-PL"/>
        </w:rPr>
        <w:t xml:space="preserve">– należy przez to rozumieć akredytowany przez ministra właściwego do spraw zabezpieczenia społecznego ośrodek wsparcia ekonomii społecznej prowadzony przez Elbląskie Stowarzyszenie Wspierania Inicjatyw Pozarządowych realizujący projekt Ośrodek Wspierania Inicjatyw Ekonomii Społecznej w Elblągu w ramach którego świadczy usługi wsparcia ekonomii społecznej. </w:t>
      </w:r>
    </w:p>
    <w:p>
      <w:pPr>
        <w:numPr>
          <w:ilvl w:val="0"/>
          <w:numId w:val="8"/>
        </w:numPr>
        <w:shd w:val="clear" w:color="auto" w:fill="FFFFFF"/>
        <w:spacing w:after="0" w:line="360" w:lineRule="auto"/>
        <w:ind w:right="-40"/>
        <w:jc w:val="both"/>
        <w:rPr>
          <w:rFonts w:ascii="Arial Narrow" w:eastAsia="Tahoma" w:hAnsi="Arial Narrow" w:cs="Tahoma"/>
          <w:lang w:val="pl" w:eastAsia="pl-PL"/>
        </w:rPr>
      </w:pPr>
      <w:r>
        <w:rPr>
          <w:rFonts w:ascii="Arial Narrow" w:eastAsia="Tahoma" w:hAnsi="Arial Narrow" w:cs="Tahoma"/>
          <w:b/>
          <w:lang w:val="pl" w:eastAsia="pl-PL"/>
        </w:rPr>
        <w:t>Podmiocie ekonomii społecznej (PES)</w:t>
      </w:r>
      <w:r>
        <w:rPr>
          <w:rFonts w:ascii="Arial Narrow" w:eastAsia="Tahoma" w:hAnsi="Arial Narrow" w:cs="Tahoma"/>
          <w:lang w:val="pl" w:eastAsia="pl-PL"/>
        </w:rPr>
        <w:t xml:space="preserve"> – należy przez to rozumieć podmiot ekonomii społecznej, o którym mowa w art. 2 pkt 5 ustawy z dnia 5 sierpnia 2022 r. o ekonomii społecznej, tj.:</w:t>
      </w:r>
    </w:p>
    <w:p>
      <w:pPr>
        <w:numPr>
          <w:ilvl w:val="0"/>
          <w:numId w:val="1"/>
        </w:numPr>
        <w:shd w:val="clear" w:color="auto" w:fill="FFFFFF"/>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spółdzielnię socjalną,</w:t>
      </w:r>
    </w:p>
    <w:p>
      <w:pPr>
        <w:numPr>
          <w:ilvl w:val="0"/>
          <w:numId w:val="1"/>
        </w:numPr>
        <w:shd w:val="clear" w:color="auto" w:fill="FFFFFF"/>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lastRenderedPageBreak/>
        <w:t>warsztat terapii zajęciowej i zakład aktywności zawodowej,</w:t>
      </w:r>
    </w:p>
    <w:p>
      <w:pPr>
        <w:numPr>
          <w:ilvl w:val="0"/>
          <w:numId w:val="1"/>
        </w:numPr>
        <w:shd w:val="clear" w:color="auto" w:fill="FFFFFF"/>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centrum integracji społecznej i klub integracji społecznej,</w:t>
      </w:r>
    </w:p>
    <w:p>
      <w:pPr>
        <w:numPr>
          <w:ilvl w:val="0"/>
          <w:numId w:val="1"/>
        </w:numPr>
        <w:shd w:val="clear" w:color="auto" w:fill="FFFFFF"/>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spółdzielnię pracy, w tym spółdzielnię inwalidów i spółdzielnię niewidomych, oraz spółdzielnię produkcji rolnej,</w:t>
      </w:r>
    </w:p>
    <w:p>
      <w:pPr>
        <w:numPr>
          <w:ilvl w:val="0"/>
          <w:numId w:val="1"/>
        </w:numPr>
        <w:shd w:val="clear" w:color="auto" w:fill="FFFFFF"/>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organizację pozarządową, o której mowa w art. 3 ust. 2 ustawy z dnia 24 kwietnia 2003 r. o działalności pożytku publicznego i o wolontariacie (Dz. U. z 2023 r. poz. 571), z wyjątkiem partii politycznych, europejskich partii politycznych, związków zawodowych i organizacji pracodawców, samorządów zawodowych, fundacji utworzonych przez partie polityczne i europejskich fundacji politycznych,</w:t>
      </w:r>
    </w:p>
    <w:p>
      <w:pPr>
        <w:numPr>
          <w:ilvl w:val="0"/>
          <w:numId w:val="1"/>
        </w:numPr>
        <w:shd w:val="clear" w:color="auto" w:fill="FFFFFF"/>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podmiot, o którym mowa w art. 3 ust. 3 pkt 1, 2 lub 4 ustawy z dnia 24 kwietnia 2003 r. o działalności pożytku publicznego i o wolontariacie;</w:t>
      </w:r>
    </w:p>
    <w:p>
      <w:pPr>
        <w:numPr>
          <w:ilvl w:val="0"/>
          <w:numId w:val="8"/>
        </w:numPr>
        <w:shd w:val="clear" w:color="auto" w:fill="FFFFFF"/>
        <w:spacing w:after="0" w:line="360" w:lineRule="auto"/>
        <w:ind w:right="-40"/>
        <w:jc w:val="both"/>
        <w:rPr>
          <w:rFonts w:ascii="Arial Narrow" w:eastAsia="Tahoma" w:hAnsi="Arial Narrow" w:cs="Tahoma"/>
          <w:lang w:val="pl" w:eastAsia="pl-PL"/>
        </w:rPr>
      </w:pPr>
      <w:r>
        <w:rPr>
          <w:rFonts w:ascii="Arial Narrow" w:eastAsia="Tahoma" w:hAnsi="Arial Narrow" w:cs="Tahoma"/>
          <w:b/>
          <w:lang w:val="pl" w:eastAsia="pl-PL"/>
        </w:rPr>
        <w:t>Przedsiębiorstwie</w:t>
      </w:r>
      <w:r>
        <w:rPr>
          <w:rFonts w:ascii="Arial Narrow" w:eastAsia="Tahoma" w:hAnsi="Arial Narrow" w:cs="Tahoma"/>
          <w:lang w:val="pl" w:eastAsia="pl-PL"/>
        </w:rPr>
        <w:t xml:space="preserve"> </w:t>
      </w:r>
      <w:r>
        <w:rPr>
          <w:rFonts w:ascii="Arial Narrow" w:eastAsia="Tahoma" w:hAnsi="Arial Narrow" w:cs="Tahoma"/>
          <w:b/>
          <w:lang w:val="pl" w:eastAsia="pl-PL"/>
        </w:rPr>
        <w:t>społecznym (PS)</w:t>
      </w:r>
      <w:r>
        <w:rPr>
          <w:rFonts w:ascii="Arial Narrow" w:eastAsia="Tahoma" w:hAnsi="Arial Narrow" w:cs="Tahoma"/>
          <w:lang w:val="pl" w:eastAsia="pl-PL"/>
        </w:rPr>
        <w:t xml:space="preserve"> – należy przez to rozumieć podmiot ekonomii społecznej, posiadający status przedsiębiorstwa społecznego, zgodnie z art. 3 ust. 1 ustawy z dnia 5 sierpnia 2022 r. o ekonomii społecznej.</w:t>
      </w:r>
    </w:p>
    <w:p>
      <w:pPr>
        <w:numPr>
          <w:ilvl w:val="0"/>
          <w:numId w:val="8"/>
        </w:numPr>
        <w:shd w:val="clear" w:color="auto" w:fill="FFFFFF"/>
        <w:spacing w:after="0" w:line="360" w:lineRule="auto"/>
        <w:ind w:right="-40"/>
        <w:jc w:val="both"/>
        <w:rPr>
          <w:rFonts w:ascii="Arial Narrow" w:eastAsia="Tahoma" w:hAnsi="Arial Narrow" w:cs="Tahoma"/>
          <w:lang w:val="pl" w:eastAsia="pl-PL"/>
        </w:rPr>
      </w:pPr>
      <w:r>
        <w:rPr>
          <w:rFonts w:ascii="Arial Narrow" w:eastAsia="Tahoma" w:hAnsi="Arial Narrow" w:cs="Tahoma"/>
          <w:b/>
          <w:lang w:val="pl" w:eastAsia="pl-PL"/>
        </w:rPr>
        <w:t>Regulaminie</w:t>
      </w:r>
      <w:r>
        <w:rPr>
          <w:rFonts w:ascii="Arial Narrow" w:eastAsia="Tahoma" w:hAnsi="Arial Narrow" w:cs="Tahoma"/>
          <w:lang w:val="pl" w:eastAsia="pl-PL"/>
        </w:rPr>
        <w:t xml:space="preserve"> – należy przez to rozumieć niniejszy Regulamin Funduszu Przedsiębiorczości Społecznej, który reguluje zasady udzielania wsparcia finansowego na utworzenie i utrzymanie miejsc pracy oraz wsparcia reintegracyjnego. </w:t>
      </w:r>
    </w:p>
    <w:p>
      <w:pPr>
        <w:numPr>
          <w:ilvl w:val="0"/>
          <w:numId w:val="8"/>
        </w:numPr>
        <w:shd w:val="clear" w:color="auto" w:fill="FFFFFF"/>
        <w:spacing w:after="0" w:line="360" w:lineRule="auto"/>
        <w:ind w:right="-40"/>
        <w:jc w:val="both"/>
        <w:rPr>
          <w:rFonts w:ascii="Arial Narrow" w:eastAsia="Tahoma" w:hAnsi="Arial Narrow" w:cs="Tahoma"/>
          <w:lang w:val="pl" w:eastAsia="pl-PL"/>
        </w:rPr>
      </w:pPr>
      <w:r>
        <w:rPr>
          <w:rFonts w:ascii="Arial Narrow" w:eastAsia="Tahoma" w:hAnsi="Arial Narrow" w:cs="Tahoma"/>
          <w:b/>
          <w:lang w:val="pl" w:eastAsia="pl-PL"/>
        </w:rPr>
        <w:t>Stawce jednostkowej na utworzenie i utrzymanie miejsca pracy w PS</w:t>
      </w:r>
      <w:r>
        <w:rPr>
          <w:rFonts w:ascii="Arial Narrow" w:eastAsia="Tahoma" w:hAnsi="Arial Narrow" w:cs="Tahoma"/>
          <w:lang w:val="pl" w:eastAsia="pl-PL"/>
        </w:rPr>
        <w:t xml:space="preserve"> – należy przez to rozumieć zryczałtowane wsparcie finansowe dla Odbiorcy wsparcia związane z utworzeniem i utrzymaniem miejsca pracy na zasadach uzgodnionych w niniejszym Regulaminie oraz umowie o udzielenie wsparcia finansowego na utworzenie i utrzymanie miejsca pracy.</w:t>
      </w:r>
    </w:p>
    <w:p>
      <w:pPr>
        <w:numPr>
          <w:ilvl w:val="0"/>
          <w:numId w:val="8"/>
        </w:numPr>
        <w:shd w:val="clear" w:color="auto" w:fill="FFFFFF"/>
        <w:spacing w:after="0" w:line="360" w:lineRule="auto"/>
        <w:ind w:right="-40"/>
        <w:jc w:val="both"/>
        <w:rPr>
          <w:rFonts w:ascii="Arial Narrow" w:eastAsia="Tahoma" w:hAnsi="Arial Narrow" w:cs="Tahoma"/>
          <w:lang w:val="pl" w:eastAsia="pl-PL"/>
        </w:rPr>
      </w:pPr>
      <w:r>
        <w:rPr>
          <w:rFonts w:ascii="Arial Narrow" w:eastAsia="Tahoma" w:hAnsi="Arial Narrow" w:cs="Tahoma"/>
          <w:b/>
          <w:lang w:val="pl" w:eastAsia="pl-PL"/>
        </w:rPr>
        <w:t>Stronie internetowej projektu</w:t>
      </w:r>
      <w:r>
        <w:rPr>
          <w:rFonts w:ascii="Arial Narrow" w:eastAsia="Tahoma" w:hAnsi="Arial Narrow" w:cs="Tahoma"/>
          <w:lang w:val="pl" w:eastAsia="pl-PL"/>
        </w:rPr>
        <w:t xml:space="preserve"> – należy przez to rozumieć stronę www.owies.elblag.pl</w:t>
      </w:r>
    </w:p>
    <w:p>
      <w:pPr>
        <w:numPr>
          <w:ilvl w:val="0"/>
          <w:numId w:val="8"/>
        </w:numPr>
        <w:shd w:val="clear" w:color="auto" w:fill="FFFFFF"/>
        <w:spacing w:after="0" w:line="360" w:lineRule="auto"/>
        <w:ind w:right="-40"/>
        <w:jc w:val="both"/>
        <w:rPr>
          <w:rFonts w:ascii="Arial Narrow" w:eastAsia="Tahoma" w:hAnsi="Arial Narrow" w:cs="Tahoma"/>
          <w:lang w:val="pl" w:eastAsia="pl-PL"/>
        </w:rPr>
      </w:pPr>
      <w:r>
        <w:rPr>
          <w:rFonts w:ascii="Arial Narrow" w:eastAsia="Tahoma" w:hAnsi="Arial Narrow" w:cs="Tahoma"/>
          <w:b/>
          <w:lang w:val="pl" w:eastAsia="pl-PL"/>
        </w:rPr>
        <w:t>Ustawie o ekonomii społecznej</w:t>
      </w:r>
      <w:r>
        <w:rPr>
          <w:rFonts w:ascii="Arial Narrow" w:eastAsia="Tahoma" w:hAnsi="Arial Narrow" w:cs="Tahoma"/>
          <w:lang w:val="pl" w:eastAsia="pl-PL"/>
        </w:rPr>
        <w:t xml:space="preserve"> - należy przez to rozumieć Ustawę z dnia 5 sierpnia 2022 r. o ekonomii społecznej (</w:t>
      </w:r>
      <w:proofErr w:type="spellStart"/>
      <w:r>
        <w:rPr>
          <w:rFonts w:ascii="Arial Narrow" w:eastAsia="Tahoma" w:hAnsi="Arial Narrow" w:cs="Tahoma"/>
          <w:lang w:val="pl" w:eastAsia="pl-PL"/>
        </w:rPr>
        <w:t>t.j</w:t>
      </w:r>
      <w:proofErr w:type="spellEnd"/>
      <w:r>
        <w:rPr>
          <w:rFonts w:ascii="Arial Narrow" w:eastAsia="Tahoma" w:hAnsi="Arial Narrow" w:cs="Tahoma"/>
          <w:lang w:val="pl" w:eastAsia="pl-PL"/>
        </w:rPr>
        <w:t>. Dz. U. z 2023 r. poz. 1287, 1429).</w:t>
      </w:r>
    </w:p>
    <w:p>
      <w:pPr>
        <w:numPr>
          <w:ilvl w:val="0"/>
          <w:numId w:val="8"/>
        </w:numPr>
        <w:shd w:val="clear" w:color="auto" w:fill="FFFFFF"/>
        <w:spacing w:after="0" w:line="360" w:lineRule="auto"/>
        <w:ind w:right="-40"/>
        <w:jc w:val="both"/>
        <w:rPr>
          <w:rFonts w:ascii="Arial Narrow" w:eastAsia="Tahoma" w:hAnsi="Arial Narrow" w:cs="Tahoma"/>
          <w:lang w:val="pl" w:eastAsia="pl-PL"/>
        </w:rPr>
      </w:pPr>
      <w:r>
        <w:rPr>
          <w:rFonts w:ascii="Arial Narrow" w:eastAsia="Tahoma" w:hAnsi="Arial Narrow" w:cs="Tahoma"/>
          <w:b/>
          <w:lang w:val="pl" w:eastAsia="pl-PL"/>
        </w:rPr>
        <w:t>Wnioskodawcy</w:t>
      </w:r>
      <w:r>
        <w:rPr>
          <w:rFonts w:ascii="Arial Narrow" w:eastAsia="Tahoma" w:hAnsi="Arial Narrow" w:cs="Tahoma"/>
          <w:lang w:val="pl" w:eastAsia="pl-PL"/>
        </w:rPr>
        <w:t xml:space="preserve"> – należy przez to rozumieć GI/PES/PS ubiegające się o udzielenie wsparcia finansowego na utworzenie i utrzymanie miejsc pracy oraz PS ubiegające się o udzielenie wsparcia reintegracyjnego.</w:t>
      </w:r>
    </w:p>
    <w:p>
      <w:pPr>
        <w:numPr>
          <w:ilvl w:val="0"/>
          <w:numId w:val="8"/>
        </w:numPr>
        <w:shd w:val="clear" w:color="auto" w:fill="FFFFFF"/>
        <w:spacing w:after="0" w:line="360" w:lineRule="auto"/>
        <w:ind w:right="-40"/>
        <w:jc w:val="both"/>
        <w:rPr>
          <w:rFonts w:ascii="Arial Narrow" w:eastAsia="Tahoma" w:hAnsi="Arial Narrow" w:cs="Tahoma"/>
          <w:lang w:val="pl" w:eastAsia="pl-PL"/>
        </w:rPr>
      </w:pPr>
      <w:r>
        <w:rPr>
          <w:rFonts w:ascii="Arial Narrow" w:eastAsia="Tahoma" w:hAnsi="Arial Narrow" w:cs="Tahoma"/>
          <w:b/>
          <w:lang w:val="pl" w:eastAsia="pl-PL"/>
        </w:rPr>
        <w:t>Wytycznych</w:t>
      </w:r>
      <w:r>
        <w:rPr>
          <w:rFonts w:ascii="Arial Narrow" w:eastAsia="Tahoma" w:hAnsi="Arial Narrow" w:cs="Tahoma"/>
          <w:lang w:val="pl" w:eastAsia="pl-PL"/>
        </w:rPr>
        <w:t xml:space="preserve"> – należy przez to rozumieć Wytyczne dotyczące realizacji projektów z udziałem środków Europejskiego Funduszu Społecznego Plus w regionalnych programach na lata 2021–2027 z dnia 6 grudnia 2023 r.</w:t>
      </w:r>
    </w:p>
    <w:p>
      <w:pPr>
        <w:spacing w:after="0" w:line="240" w:lineRule="auto"/>
        <w:jc w:val="center"/>
        <w:rPr>
          <w:rFonts w:ascii="Arial Narrow" w:eastAsia="Arial" w:hAnsi="Arial Narrow" w:cs="Arial"/>
          <w:b/>
          <w:lang w:val="pl" w:eastAsia="pl-PL"/>
        </w:rPr>
      </w:pPr>
      <w:r>
        <w:rPr>
          <w:rFonts w:ascii="Arial Narrow" w:eastAsia="Arial" w:hAnsi="Arial Narrow" w:cs="Arial"/>
          <w:b/>
          <w:lang w:val="pl" w:eastAsia="pl-PL"/>
        </w:rPr>
        <w:t>§ 1</w:t>
      </w:r>
    </w:p>
    <w:p>
      <w:pPr>
        <w:keepNext/>
        <w:keepLines/>
        <w:spacing w:after="120" w:line="276" w:lineRule="auto"/>
        <w:jc w:val="center"/>
        <w:outlineLvl w:val="0"/>
        <w:rPr>
          <w:rFonts w:ascii="Arial Narrow" w:eastAsia="Arial" w:hAnsi="Arial Narrow" w:cs="Arial"/>
          <w:b/>
          <w:lang w:val="pl" w:eastAsia="pl-PL"/>
        </w:rPr>
      </w:pPr>
      <w:bookmarkStart w:id="4" w:name="_Toc175735239"/>
      <w:r>
        <w:rPr>
          <w:rFonts w:ascii="Arial Narrow" w:eastAsia="Arial" w:hAnsi="Arial Narrow" w:cs="Arial"/>
          <w:b/>
          <w:lang w:val="pl" w:eastAsia="pl-PL"/>
        </w:rPr>
        <w:t>Postanowienia ogólne</w:t>
      </w:r>
      <w:bookmarkEnd w:id="4"/>
    </w:p>
    <w:p>
      <w:pPr>
        <w:widowControl w:val="0"/>
        <w:numPr>
          <w:ilvl w:val="0"/>
          <w:numId w:val="3"/>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Niniejszy Regulamin określa zasady przyznawania wsparcia finansowego w formie stawek jednostkowych na utworzenie i utrzymanie miejsca pracy w PS oraz wsparcia reintegracyjnego w ramach Projektu: Ośrodek Wspierania Inicjatyw Ekonomii Społecznej w Elblągu, numer: </w:t>
      </w:r>
      <w:r>
        <w:rPr>
          <w:rFonts w:ascii="Arial Narrow" w:eastAsia="Arial" w:hAnsi="Arial Narrow" w:cs="Arial"/>
          <w:lang w:val="pl" w:eastAsia="pl-PL"/>
        </w:rPr>
        <w:t xml:space="preserve">FEWM.09.02-IZ.00-0004/23-00 </w:t>
      </w:r>
      <w:r>
        <w:rPr>
          <w:rFonts w:ascii="Arial Narrow" w:eastAsia="Tahoma" w:hAnsi="Arial Narrow" w:cs="Tahoma"/>
          <w:lang w:val="pl" w:eastAsia="pl-PL"/>
        </w:rPr>
        <w:t>realizowanego w ramach programu Fundusze Europejskie dla Warmii i Mazur (</w:t>
      </w:r>
      <w:proofErr w:type="spellStart"/>
      <w:r>
        <w:rPr>
          <w:rFonts w:ascii="Arial Narrow" w:eastAsia="Tahoma" w:hAnsi="Arial Narrow" w:cs="Tahoma"/>
          <w:lang w:val="pl" w:eastAsia="pl-PL"/>
        </w:rPr>
        <w:t>FEWiM</w:t>
      </w:r>
      <w:proofErr w:type="spellEnd"/>
      <w:r>
        <w:rPr>
          <w:rFonts w:ascii="Arial Narrow" w:eastAsia="Tahoma" w:hAnsi="Arial Narrow" w:cs="Tahoma"/>
          <w:lang w:val="pl" w:eastAsia="pl-PL"/>
        </w:rPr>
        <w:t xml:space="preserve">) 2021-2027, Priorytet 9 Włączenie i </w:t>
      </w:r>
      <w:r>
        <w:rPr>
          <w:rFonts w:ascii="Arial Narrow" w:eastAsia="Tahoma" w:hAnsi="Arial Narrow" w:cs="Tahoma"/>
          <w:lang w:val="pl" w:eastAsia="pl-PL"/>
        </w:rPr>
        <w:lastRenderedPageBreak/>
        <w:t xml:space="preserve">integracja EFS+, Działanie 9.2 Ekonomia społeczna, Cel szczegółowy h: Wspieranie aktywnego włączenia społecznego w celu promowania równości szans, niedyskryminacji i aktywnego uczestnictwa oraz zwiększanie zdolności </w:t>
      </w:r>
      <w:r>
        <w:rPr>
          <w:rFonts w:ascii="Arial Narrow" w:eastAsia="Tahoma" w:hAnsi="Arial Narrow" w:cs="Tahoma"/>
          <w:lang w:val="pl" w:eastAsia="pl-PL"/>
        </w:rPr>
        <w:br/>
        <w:t>do zatrudnienia, w szczególności grup w niekorzystnej sytuacji.</w:t>
      </w:r>
    </w:p>
    <w:p>
      <w:pPr>
        <w:widowControl w:val="0"/>
        <w:numPr>
          <w:ilvl w:val="0"/>
          <w:numId w:val="3"/>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Wsparcie finansowe jest udzielane na tworzenie nowych miejsc pracy dla osób zagrożonych wykluczeniem społecznym, o których mowa w art. 2 pkt 6 ustawy z dnia 5 sierpnia 2022 r. o ekonomii społecznej, tj. </w:t>
      </w:r>
    </w:p>
    <w:p>
      <w:pPr>
        <w:widowControl w:val="0"/>
        <w:numPr>
          <w:ilvl w:val="0"/>
          <w:numId w:val="18"/>
        </w:numPr>
        <w:tabs>
          <w:tab w:val="left" w:pos="750"/>
        </w:tabs>
        <w:spacing w:after="0" w:line="360" w:lineRule="auto"/>
        <w:ind w:left="1417" w:right="-40" w:hanging="424"/>
        <w:jc w:val="both"/>
        <w:rPr>
          <w:rFonts w:ascii="Arial Narrow" w:eastAsia="Tahoma" w:hAnsi="Arial Narrow" w:cs="Tahoma"/>
          <w:lang w:val="pl" w:eastAsia="pl-PL"/>
        </w:rPr>
      </w:pPr>
      <w:r>
        <w:rPr>
          <w:rFonts w:ascii="Arial Narrow" w:eastAsia="Tahoma" w:hAnsi="Arial Narrow" w:cs="Tahoma"/>
          <w:lang w:val="pl" w:eastAsia="pl-PL"/>
        </w:rPr>
        <w:t>bezrobotnego, o którym mowa w art. 2 ust. 1 pkt 2 ustawy z dnia 20 kwietnia 2004 r. o promocji zatrudnienia i instytucjach rynku pracy (Dz. U. z 2023 r. poz. 735),</w:t>
      </w:r>
    </w:p>
    <w:p>
      <w:pPr>
        <w:widowControl w:val="0"/>
        <w:numPr>
          <w:ilvl w:val="0"/>
          <w:numId w:val="18"/>
        </w:numPr>
        <w:tabs>
          <w:tab w:val="left" w:pos="750"/>
        </w:tabs>
        <w:spacing w:after="0" w:line="360" w:lineRule="auto"/>
        <w:ind w:left="1417" w:right="-40"/>
        <w:jc w:val="both"/>
        <w:rPr>
          <w:rFonts w:ascii="Arial Narrow" w:eastAsia="Tahoma" w:hAnsi="Arial Narrow" w:cs="Tahoma"/>
          <w:lang w:val="pl" w:eastAsia="pl-PL"/>
        </w:rPr>
      </w:pPr>
      <w:r>
        <w:rPr>
          <w:rFonts w:ascii="Arial Narrow" w:eastAsia="Tahoma" w:hAnsi="Arial Narrow" w:cs="Tahoma"/>
          <w:lang w:val="pl" w:eastAsia="pl-PL"/>
        </w:rPr>
        <w:t>bezrobotnego długotrwale, o którym mowa w art. 2 ust. 1 pkt 5 ustawy z dnia 20 kwietnia 2004 r. o promocji zatrudnienia i instytucjach rynku pracy,</w:t>
      </w:r>
    </w:p>
    <w:p>
      <w:pPr>
        <w:widowControl w:val="0"/>
        <w:numPr>
          <w:ilvl w:val="0"/>
          <w:numId w:val="18"/>
        </w:numPr>
        <w:tabs>
          <w:tab w:val="left" w:pos="750"/>
        </w:tabs>
        <w:spacing w:after="0" w:line="360" w:lineRule="auto"/>
        <w:ind w:left="1417" w:right="-40"/>
        <w:jc w:val="both"/>
        <w:rPr>
          <w:rFonts w:ascii="Arial Narrow" w:eastAsia="Tahoma" w:hAnsi="Arial Narrow" w:cs="Tahoma"/>
          <w:lang w:val="pl" w:eastAsia="pl-PL"/>
        </w:rPr>
      </w:pPr>
      <w:r>
        <w:rPr>
          <w:rFonts w:ascii="Arial Narrow" w:eastAsia="Tahoma" w:hAnsi="Arial Narrow" w:cs="Tahoma"/>
          <w:lang w:val="pl" w:eastAsia="pl-PL"/>
        </w:rPr>
        <w:t xml:space="preserve">poszukującego pracy, o którym mowa w art. 2 ust. 1 pkt 22 ustawy z dnia 20 kwietnia 2004 r. </w:t>
      </w:r>
      <w:r>
        <w:rPr>
          <w:rFonts w:ascii="Arial Narrow" w:eastAsia="Tahoma" w:hAnsi="Arial Narrow" w:cs="Tahoma"/>
          <w:lang w:val="pl" w:eastAsia="pl-PL"/>
        </w:rPr>
        <w:br/>
        <w:t>o promocji zatrudnienia i instytucjach rynku pracy, bez zatrudnienia:</w:t>
      </w:r>
    </w:p>
    <w:p>
      <w:pPr>
        <w:widowControl w:val="0"/>
        <w:numPr>
          <w:ilvl w:val="0"/>
          <w:numId w:val="6"/>
        </w:numPr>
        <w:tabs>
          <w:tab w:val="left" w:pos="750"/>
        </w:tabs>
        <w:spacing w:after="0" w:line="360" w:lineRule="auto"/>
        <w:ind w:left="2137" w:right="-40" w:hanging="360"/>
        <w:jc w:val="both"/>
        <w:rPr>
          <w:rFonts w:ascii="Arial Narrow" w:eastAsia="Arial" w:hAnsi="Arial Narrow" w:cs="Tahoma"/>
          <w:lang w:val="pl" w:eastAsia="pl-PL"/>
        </w:rPr>
      </w:pPr>
      <w:r>
        <w:rPr>
          <w:rFonts w:ascii="Arial Narrow" w:eastAsia="Tahoma" w:hAnsi="Arial Narrow" w:cs="Tahoma"/>
          <w:lang w:val="pl" w:eastAsia="pl-PL"/>
        </w:rPr>
        <w:t>w wieku do 30. roku życia oraz po ukończeniu 50. roku życia lub</w:t>
      </w:r>
    </w:p>
    <w:p>
      <w:pPr>
        <w:widowControl w:val="0"/>
        <w:numPr>
          <w:ilvl w:val="0"/>
          <w:numId w:val="6"/>
        </w:numPr>
        <w:tabs>
          <w:tab w:val="left" w:pos="750"/>
        </w:tabs>
        <w:spacing w:after="0" w:line="360" w:lineRule="auto"/>
        <w:ind w:left="2137" w:right="-40" w:hanging="360"/>
        <w:jc w:val="both"/>
        <w:rPr>
          <w:rFonts w:ascii="Arial Narrow" w:eastAsia="Arial" w:hAnsi="Arial Narrow" w:cs="Tahoma"/>
          <w:lang w:val="pl" w:eastAsia="pl-PL"/>
        </w:rPr>
      </w:pPr>
      <w:r>
        <w:rPr>
          <w:rFonts w:ascii="Arial Narrow" w:eastAsia="Tahoma" w:hAnsi="Arial Narrow" w:cs="Tahoma"/>
          <w:lang w:val="pl" w:eastAsia="pl-PL"/>
        </w:rPr>
        <w:t xml:space="preserve">niewykonującego innej pracy zarobkowej, o której mowa w art. 2 ust. 1 pkt 11 ustawy </w:t>
      </w:r>
      <w:r>
        <w:rPr>
          <w:rFonts w:ascii="Arial Narrow" w:eastAsia="Tahoma" w:hAnsi="Arial Narrow" w:cs="Tahoma"/>
          <w:lang w:val="pl" w:eastAsia="pl-PL"/>
        </w:rPr>
        <w:br/>
        <w:t>z dnia 20 kwietnia 2004 r. o promocji zatrudnienia i instytucjach rynku pracy,</w:t>
      </w:r>
    </w:p>
    <w:p>
      <w:pPr>
        <w:widowControl w:val="0"/>
        <w:numPr>
          <w:ilvl w:val="0"/>
          <w:numId w:val="18"/>
        </w:numPr>
        <w:tabs>
          <w:tab w:val="left" w:pos="750"/>
        </w:tabs>
        <w:spacing w:after="0" w:line="360" w:lineRule="auto"/>
        <w:ind w:left="1417" w:right="-40"/>
        <w:jc w:val="both"/>
        <w:rPr>
          <w:rFonts w:ascii="Arial Narrow" w:eastAsia="Tahoma" w:hAnsi="Arial Narrow" w:cs="Tahoma"/>
          <w:lang w:val="pl" w:eastAsia="pl-PL"/>
        </w:rPr>
      </w:pPr>
      <w:r>
        <w:rPr>
          <w:rFonts w:ascii="Arial Narrow" w:eastAsia="Tahoma" w:hAnsi="Arial Narrow" w:cs="Tahoma"/>
          <w:lang w:val="pl" w:eastAsia="pl-PL"/>
        </w:rPr>
        <w:t>osobę niepełnosprawną w rozumieniu art. 1 ustawy z dnia 27 sierpnia 1997 r. o rehabilitacji zawodowej i społecznej oraz zatrudnianiu osób niepełnosprawnych,</w:t>
      </w:r>
    </w:p>
    <w:p>
      <w:pPr>
        <w:widowControl w:val="0"/>
        <w:numPr>
          <w:ilvl w:val="0"/>
          <w:numId w:val="18"/>
        </w:numPr>
        <w:tabs>
          <w:tab w:val="left" w:pos="750"/>
        </w:tabs>
        <w:spacing w:after="0" w:line="360" w:lineRule="auto"/>
        <w:ind w:left="1417" w:right="-40"/>
        <w:jc w:val="both"/>
        <w:rPr>
          <w:rFonts w:ascii="Arial Narrow" w:eastAsia="Tahoma" w:hAnsi="Arial Narrow" w:cs="Tahoma"/>
          <w:lang w:val="pl" w:eastAsia="pl-PL"/>
        </w:rPr>
      </w:pPr>
      <w:r>
        <w:rPr>
          <w:rFonts w:ascii="Arial Narrow" w:eastAsia="Tahoma" w:hAnsi="Arial Narrow" w:cs="Tahoma"/>
          <w:lang w:val="pl" w:eastAsia="pl-PL"/>
        </w:rPr>
        <w:t>absolwenta centrum integracji społecznej oraz absolwenta klubu integracji społecznej, o których mowa w art. 2 pkt 1a i 1b ustawy z dnia 13 czerwca 2003 r. o zatrudnieniu socjalnym,</w:t>
      </w:r>
    </w:p>
    <w:p>
      <w:pPr>
        <w:widowControl w:val="0"/>
        <w:numPr>
          <w:ilvl w:val="0"/>
          <w:numId w:val="18"/>
        </w:numPr>
        <w:tabs>
          <w:tab w:val="left" w:pos="750"/>
        </w:tabs>
        <w:spacing w:after="0" w:line="360" w:lineRule="auto"/>
        <w:ind w:left="1417" w:right="-40"/>
        <w:jc w:val="both"/>
        <w:rPr>
          <w:rFonts w:ascii="Arial Narrow" w:eastAsia="Tahoma" w:hAnsi="Arial Narrow" w:cs="Tahoma"/>
          <w:lang w:val="pl" w:eastAsia="pl-PL"/>
        </w:rPr>
      </w:pPr>
      <w:r>
        <w:rPr>
          <w:rFonts w:ascii="Arial Narrow" w:eastAsia="Tahoma" w:hAnsi="Arial Narrow" w:cs="Tahoma"/>
          <w:lang w:val="pl" w:eastAsia="pl-PL"/>
        </w:rPr>
        <w:t xml:space="preserve">osobę spełniającą kryteria, o których mowa w art. 8 ust. 1 pkt 1 i 2 ustawy z dnia 12 marca 2004 r. o pomocy społecznej (Dz. U. z 2021 r. poz. 2268, z </w:t>
      </w:r>
      <w:proofErr w:type="spellStart"/>
      <w:r>
        <w:rPr>
          <w:rFonts w:ascii="Arial Narrow" w:eastAsia="Tahoma" w:hAnsi="Arial Narrow" w:cs="Tahoma"/>
          <w:lang w:val="pl" w:eastAsia="pl-PL"/>
        </w:rPr>
        <w:t>późn</w:t>
      </w:r>
      <w:proofErr w:type="spellEnd"/>
      <w:r>
        <w:rPr>
          <w:rFonts w:ascii="Arial Narrow" w:eastAsia="Tahoma" w:hAnsi="Arial Narrow" w:cs="Tahoma"/>
          <w:lang w:val="pl" w:eastAsia="pl-PL"/>
        </w:rPr>
        <w:t>. zm.</w:t>
      </w:r>
      <w:r>
        <w:rPr>
          <w:rFonts w:ascii="Arial Narrow" w:eastAsia="Tahoma" w:hAnsi="Arial Narrow" w:cs="Tahoma"/>
          <w:vertAlign w:val="superscript"/>
          <w:lang w:val="pl" w:eastAsia="pl-PL"/>
        </w:rPr>
        <w:footnoteReference w:id="1"/>
      </w:r>
      <w:r>
        <w:rPr>
          <w:rFonts w:ascii="Arial Narrow" w:eastAsia="Tahoma" w:hAnsi="Arial Narrow" w:cs="Tahoma"/>
          <w:lang w:val="pl" w:eastAsia="pl-PL"/>
        </w:rPr>
        <w:t>),</w:t>
      </w:r>
    </w:p>
    <w:p>
      <w:pPr>
        <w:widowControl w:val="0"/>
        <w:numPr>
          <w:ilvl w:val="0"/>
          <w:numId w:val="18"/>
        </w:numPr>
        <w:tabs>
          <w:tab w:val="left" w:pos="750"/>
        </w:tabs>
        <w:spacing w:after="0" w:line="360" w:lineRule="auto"/>
        <w:ind w:left="1417" w:right="-40"/>
        <w:jc w:val="both"/>
        <w:rPr>
          <w:rFonts w:ascii="Arial Narrow" w:eastAsia="Tahoma" w:hAnsi="Arial Narrow" w:cs="Tahoma"/>
          <w:lang w:val="pl" w:eastAsia="pl-PL"/>
        </w:rPr>
      </w:pPr>
      <w:r>
        <w:rPr>
          <w:rFonts w:ascii="Arial Narrow" w:eastAsia="Tahoma" w:hAnsi="Arial Narrow" w:cs="Tahoma"/>
          <w:lang w:val="pl" w:eastAsia="pl-PL"/>
        </w:rPr>
        <w:t>osobę uprawnioną do specjalnego zasiłku opiekuńczego, o której mowa w art. 16a ust. 1 ustawy z dnia 28 listopada 2003 r. o świadczeniach rodzinnych (Dz. U. z 2023 r. poz. 390 i 658),</w:t>
      </w:r>
    </w:p>
    <w:p>
      <w:pPr>
        <w:widowControl w:val="0"/>
        <w:numPr>
          <w:ilvl w:val="0"/>
          <w:numId w:val="18"/>
        </w:numPr>
        <w:tabs>
          <w:tab w:val="left" w:pos="750"/>
        </w:tabs>
        <w:spacing w:after="0" w:line="360" w:lineRule="auto"/>
        <w:ind w:left="1417" w:right="-40"/>
        <w:jc w:val="both"/>
        <w:rPr>
          <w:rFonts w:ascii="Arial Narrow" w:eastAsia="Tahoma" w:hAnsi="Arial Narrow" w:cs="Tahoma"/>
          <w:lang w:val="pl" w:eastAsia="pl-PL"/>
        </w:rPr>
      </w:pPr>
      <w:r>
        <w:rPr>
          <w:rFonts w:ascii="Arial Narrow" w:eastAsia="Tahoma" w:hAnsi="Arial Narrow" w:cs="Tahoma"/>
          <w:lang w:val="pl" w:eastAsia="pl-PL"/>
        </w:rPr>
        <w:t xml:space="preserve">osobę usamodzielnianą, o której mowa w art. 140 ust. 1 i 2 ustawy z dnia 9 czerwca 2011 r. </w:t>
      </w:r>
      <w:r>
        <w:rPr>
          <w:rFonts w:ascii="Arial Narrow" w:eastAsia="Tahoma" w:hAnsi="Arial Narrow" w:cs="Tahoma"/>
          <w:lang w:val="pl" w:eastAsia="pl-PL"/>
        </w:rPr>
        <w:br/>
        <w:t xml:space="preserve">o wspieraniu rodziny i systemie pieczy zastępczej (Dz. U. z 2022 r. poz. 447, 1700 i 2140 oraz </w:t>
      </w:r>
      <w:r>
        <w:rPr>
          <w:rFonts w:ascii="Arial Narrow" w:eastAsia="Tahoma" w:hAnsi="Arial Narrow" w:cs="Tahoma"/>
          <w:lang w:val="pl" w:eastAsia="pl-PL"/>
        </w:rPr>
        <w:br/>
        <w:t>z 2023 r. poz. 403 i 535) oraz art. 88 ust. 1 ustawy z dnia 12 marca 2004 r. o pomocy społecznej,</w:t>
      </w:r>
    </w:p>
    <w:p>
      <w:pPr>
        <w:widowControl w:val="0"/>
        <w:numPr>
          <w:ilvl w:val="0"/>
          <w:numId w:val="18"/>
        </w:numPr>
        <w:tabs>
          <w:tab w:val="left" w:pos="750"/>
        </w:tabs>
        <w:spacing w:after="0" w:line="360" w:lineRule="auto"/>
        <w:ind w:left="1417" w:right="-40"/>
        <w:jc w:val="both"/>
        <w:rPr>
          <w:rFonts w:ascii="Arial Narrow" w:eastAsia="Tahoma" w:hAnsi="Arial Narrow" w:cs="Tahoma"/>
          <w:lang w:val="pl" w:eastAsia="pl-PL"/>
        </w:rPr>
      </w:pPr>
      <w:r>
        <w:rPr>
          <w:rFonts w:ascii="Arial Narrow" w:eastAsia="Tahoma" w:hAnsi="Arial Narrow" w:cs="Tahoma"/>
          <w:lang w:val="pl" w:eastAsia="pl-PL"/>
        </w:rPr>
        <w:t>osobę z zaburzeniami psychicznymi, o której mowa w art. 3 pkt 1 ustawy z dnia 19 sierpnia 1994 r. o ochronie zdrowia psychicznego (Dz. U. z 2022 r. poz. 2123),</w:t>
      </w:r>
    </w:p>
    <w:p>
      <w:pPr>
        <w:widowControl w:val="0"/>
        <w:numPr>
          <w:ilvl w:val="0"/>
          <w:numId w:val="18"/>
        </w:numPr>
        <w:tabs>
          <w:tab w:val="left" w:pos="750"/>
        </w:tabs>
        <w:spacing w:after="0" w:line="360" w:lineRule="auto"/>
        <w:ind w:left="1417" w:right="-40"/>
        <w:jc w:val="both"/>
        <w:rPr>
          <w:rFonts w:ascii="Arial Narrow" w:eastAsia="Tahoma" w:hAnsi="Arial Narrow" w:cs="Tahoma"/>
          <w:lang w:val="pl" w:eastAsia="pl-PL"/>
        </w:rPr>
      </w:pPr>
      <w:r>
        <w:rPr>
          <w:rFonts w:ascii="Arial Narrow" w:eastAsia="Tahoma" w:hAnsi="Arial Narrow" w:cs="Tahoma"/>
          <w:lang w:val="pl" w:eastAsia="pl-PL"/>
        </w:rPr>
        <w:t>osobę pozbawioną wolności, osobę opuszczającą zakład karny oraz pełnoletnią osobę opuszczającą zakład poprawczy,</w:t>
      </w:r>
    </w:p>
    <w:p>
      <w:pPr>
        <w:widowControl w:val="0"/>
        <w:numPr>
          <w:ilvl w:val="0"/>
          <w:numId w:val="18"/>
        </w:numPr>
        <w:tabs>
          <w:tab w:val="left" w:pos="750"/>
        </w:tabs>
        <w:spacing w:after="0" w:line="360" w:lineRule="auto"/>
        <w:ind w:left="1417" w:right="-40"/>
        <w:jc w:val="both"/>
        <w:rPr>
          <w:rFonts w:ascii="Arial Narrow" w:eastAsia="Tahoma" w:hAnsi="Arial Narrow" w:cs="Tahoma"/>
          <w:lang w:val="pl" w:eastAsia="pl-PL"/>
        </w:rPr>
      </w:pPr>
      <w:r>
        <w:rPr>
          <w:rFonts w:ascii="Arial Narrow" w:eastAsia="Tahoma" w:hAnsi="Arial Narrow" w:cs="Tahoma"/>
          <w:lang w:val="pl" w:eastAsia="pl-PL"/>
        </w:rPr>
        <w:t xml:space="preserve">osobę starszą, o której mowa w art. 4 pkt 1 ustawy z dnia 11 września 2015 r. o osobach starszych </w:t>
      </w:r>
      <w:r>
        <w:rPr>
          <w:rFonts w:ascii="Arial Narrow" w:eastAsia="Tahoma" w:hAnsi="Arial Narrow" w:cs="Tahoma"/>
          <w:lang w:val="pl" w:eastAsia="pl-PL"/>
        </w:rPr>
        <w:lastRenderedPageBreak/>
        <w:t>(Dz. U. poz. 1705),</w:t>
      </w:r>
    </w:p>
    <w:p>
      <w:pPr>
        <w:widowControl w:val="0"/>
        <w:numPr>
          <w:ilvl w:val="0"/>
          <w:numId w:val="18"/>
        </w:numPr>
        <w:tabs>
          <w:tab w:val="left" w:pos="750"/>
        </w:tabs>
        <w:spacing w:after="0" w:line="360" w:lineRule="auto"/>
        <w:ind w:left="1417" w:right="-40"/>
        <w:jc w:val="both"/>
        <w:rPr>
          <w:rFonts w:ascii="Arial Narrow" w:eastAsia="Tahoma" w:hAnsi="Arial Narrow" w:cs="Tahoma"/>
          <w:lang w:val="pl" w:eastAsia="pl-PL"/>
        </w:rPr>
      </w:pPr>
      <w:r>
        <w:rPr>
          <w:rFonts w:ascii="Arial Narrow" w:eastAsia="Tahoma" w:hAnsi="Arial Narrow" w:cs="Tahoma"/>
          <w:lang w:val="pl" w:eastAsia="pl-PL"/>
        </w:rPr>
        <w:t>osobę, która uzyskała w Rzeczypospolitej Polskiej status uchodźcy lub ochronę uzupełniającą.</w:t>
      </w:r>
    </w:p>
    <w:p>
      <w:pPr>
        <w:widowControl w:val="0"/>
        <w:numPr>
          <w:ilvl w:val="0"/>
          <w:numId w:val="3"/>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Preferowane do wsparcia są osoby, o których mowa w art. 2 pkt 6 lit. b, d, e, g, h, i oraz l ustawy z dnia </w:t>
      </w:r>
      <w:r>
        <w:rPr>
          <w:rFonts w:ascii="Arial Narrow" w:eastAsia="Tahoma" w:hAnsi="Arial Narrow" w:cs="Tahoma"/>
          <w:lang w:val="pl" w:eastAsia="pl-PL"/>
        </w:rPr>
        <w:br/>
        <w:t>5 sierpnia 2022 r. o ekonomii społecznej tj. osoby wymienione w ust. 2. lit. b, d, e, g, h, i oraz l powyżej.</w:t>
      </w:r>
    </w:p>
    <w:p>
      <w:pPr>
        <w:widowControl w:val="0"/>
        <w:numPr>
          <w:ilvl w:val="0"/>
          <w:numId w:val="3"/>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Osoby, o których mowa w ust. 2 i 3 muszą mieć miejsce zamieszkania (w rozumieniu przepisów Kodeksu cywilnego) na terenie subregionu elbląskiego</w:t>
      </w:r>
      <w:r>
        <w:rPr>
          <w:rFonts w:ascii="Arial Narrow" w:eastAsia="Tahoma" w:hAnsi="Arial Narrow" w:cs="Tahoma"/>
          <w:vertAlign w:val="superscript"/>
          <w:lang w:val="pl" w:eastAsia="pl-PL"/>
        </w:rPr>
        <w:footnoteReference w:id="2"/>
      </w:r>
      <w:r>
        <w:rPr>
          <w:rFonts w:ascii="Arial Narrow" w:eastAsia="Tahoma" w:hAnsi="Arial Narrow" w:cs="Tahoma"/>
          <w:lang w:val="pl" w:eastAsia="pl-PL"/>
        </w:rPr>
        <w:t>.</w:t>
      </w:r>
    </w:p>
    <w:p>
      <w:pPr>
        <w:widowControl w:val="0"/>
        <w:numPr>
          <w:ilvl w:val="0"/>
          <w:numId w:val="3"/>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Status osób, o których mowa w ust. 2 i 3, jest weryfikowany przed zatrudnieniem danej osoby w PS/PES przekształcającym się w PS na podstawie przedłożonych dokumentów poświadczających spełnianie kryteriów kwalifikowalności do zatrudnienia na nowo utworzonym miejscu pracy, w szczególności zaświadczenia z ZUS lub z PUP, orzeczenia o niepełnosprawności, innych dokumentów poświadczających kwalifikowalność itp.</w:t>
      </w:r>
    </w:p>
    <w:p>
      <w:pPr>
        <w:widowControl w:val="0"/>
        <w:numPr>
          <w:ilvl w:val="0"/>
          <w:numId w:val="3"/>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W wyniku przyznania PS lub PES przekształcanemu w PS wsparcia finansowego na utworzenie i utrzymanie miejsca pracy, musi dojść do zwiększenia ogólnej liczby miejsc pracy w tym podmiocie co najmniej o liczbę miejsc pracy, na którą przyznano dofinansowanie. Moment badania wzrostu liczby miejsc pracy następuje na koniec okresu trwałości ostatniego miejsca pracy, na które przyznano PS wsparcie finansowe. Momentem odniesienia jest data przyznania wsparcia finansowego na utworzenie miejsca pracy. </w:t>
      </w:r>
    </w:p>
    <w:p>
      <w:pPr>
        <w:numPr>
          <w:ilvl w:val="0"/>
          <w:numId w:val="3"/>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Odbiorca wsparcia w przypadku każdej osoby zagrożonej wykluczeniem społecznym zatrudnionej na miejscu pracy utworzonym ze środków EFS+ ma obowiązek opracować i realizować IPR. IPR powinien być realizowany przez okres nie krótszy niż okres zatrudnienia danej osoby wymagany w związku z utrzymaniem i trwałością miejsca pracy. OWES zapewnia wsparcie w opracowaniu IPR, a także finansowanie realizacji IPR, o którym mowa w § 10 i § 11 niniejszego Regulaminu.</w:t>
      </w:r>
    </w:p>
    <w:p>
      <w:pPr>
        <w:numPr>
          <w:ilvl w:val="0"/>
          <w:numId w:val="3"/>
        </w:numPr>
        <w:shd w:val="clear" w:color="auto" w:fill="FFFFFF"/>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Osoby, dla których na stworzenie miejsca pracy udzielono wsparcia finansowego na utworzenie i utrzymanie miejsca pracy w PS, nie mogą wykonywać pracy na podstawie umowy o pracę, spółdzielczej umowy o pracę lub umowy cywilnoprawnej, lub prowadzić działalności gospodarczej w momencie podejmowania zatrudnienia w PS/PES przekształcanym w PS.</w:t>
      </w:r>
    </w:p>
    <w:p>
      <w:pPr>
        <w:numPr>
          <w:ilvl w:val="0"/>
          <w:numId w:val="3"/>
        </w:numPr>
        <w:shd w:val="clear" w:color="auto" w:fill="FFFFFF"/>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Osoby zatrudniane na miejscach pracy utworzonych w ramach stawki jednostkowej na utworzenie i utrzymanie miejsca pracy, nie mogą pracować w danym PS lub PES przekształcanym w PS (na podstawie umowy o pracę, spółdzielczej umowy o pracę lub umów cywilnoprawnych) w terminie 12 miesięcy poprzedzających złożenie wniosku o udzielenie wsparcia finansowego za wyjątkiem osób odbywających staż w PS/PES przekształcanym w PS</w:t>
      </w:r>
      <w:r>
        <w:rPr>
          <w:rFonts w:ascii="Arial Narrow" w:eastAsia="Tahoma" w:hAnsi="Arial Narrow" w:cs="Tahoma"/>
          <w:vertAlign w:val="superscript"/>
          <w:lang w:val="pl" w:eastAsia="pl-PL"/>
        </w:rPr>
        <w:footnoteReference w:id="3"/>
      </w:r>
      <w:r>
        <w:rPr>
          <w:rFonts w:ascii="Arial Narrow" w:eastAsia="Tahoma" w:hAnsi="Arial Narrow" w:cs="Tahoma"/>
          <w:lang w:val="pl" w:eastAsia="pl-PL"/>
        </w:rPr>
        <w:t>.</w:t>
      </w:r>
    </w:p>
    <w:p>
      <w:pPr>
        <w:numPr>
          <w:ilvl w:val="0"/>
          <w:numId w:val="3"/>
        </w:numPr>
        <w:shd w:val="clear" w:color="auto" w:fill="FFFFFF"/>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lastRenderedPageBreak/>
        <w:t xml:space="preserve">Formą zatrudnienia w ramach miejsc pracy dla osób, o których mowa w ust. 2, jest umowa o pracę </w:t>
      </w:r>
      <w:r>
        <w:rPr>
          <w:rFonts w:ascii="Arial Narrow" w:eastAsia="Tahoma" w:hAnsi="Arial Narrow" w:cs="Tahoma"/>
          <w:lang w:val="pl" w:eastAsia="pl-PL"/>
        </w:rPr>
        <w:br/>
        <w:t xml:space="preserve">lub spółdzielcza umowa o pracę. Miejsce pracy może zostać utworzone przez PS bądź PES przekształcany </w:t>
      </w:r>
      <w:r>
        <w:rPr>
          <w:rFonts w:ascii="Arial Narrow" w:eastAsia="Tahoma" w:hAnsi="Arial Narrow" w:cs="Tahoma"/>
          <w:lang w:val="pl" w:eastAsia="pl-PL"/>
        </w:rPr>
        <w:br/>
        <w:t>w PS najwcześniej w dniu złożenia wniosku o wsparcie finansowe na utworzenie miejsca/miejsc pracy na wyłączne ryzyko Wnioskodawcy.</w:t>
      </w:r>
    </w:p>
    <w:p>
      <w:pPr>
        <w:numPr>
          <w:ilvl w:val="0"/>
          <w:numId w:val="3"/>
        </w:numPr>
        <w:shd w:val="clear" w:color="auto" w:fill="FFFFFF"/>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Jedno PS/PES może uzyskać wsparcie finansowe na utworzenie i utrzymanie maksymalnie dziesięciu miejsc pracy dla osób, o których mowa w ust. 2, jako:</w:t>
      </w:r>
    </w:p>
    <w:p>
      <w:pPr>
        <w:numPr>
          <w:ilvl w:val="0"/>
          <w:numId w:val="16"/>
        </w:numPr>
        <w:shd w:val="clear" w:color="auto" w:fill="FFFFFF"/>
        <w:spacing w:after="0" w:line="360" w:lineRule="auto"/>
        <w:ind w:left="1418" w:right="-40"/>
        <w:jc w:val="both"/>
        <w:rPr>
          <w:rFonts w:ascii="Arial Narrow" w:eastAsia="Tahoma" w:hAnsi="Arial Narrow" w:cs="Tahoma"/>
          <w:lang w:val="pl" w:eastAsia="pl-PL"/>
        </w:rPr>
      </w:pPr>
      <w:r>
        <w:rPr>
          <w:rFonts w:ascii="Arial Narrow" w:eastAsia="Tahoma" w:hAnsi="Arial Narrow" w:cs="Tahoma"/>
          <w:lang w:val="pl" w:eastAsia="pl-PL"/>
        </w:rPr>
        <w:t>nowotworzone PS lub PES przekształcany w PS;</w:t>
      </w:r>
    </w:p>
    <w:p>
      <w:pPr>
        <w:numPr>
          <w:ilvl w:val="0"/>
          <w:numId w:val="16"/>
        </w:numPr>
        <w:shd w:val="clear" w:color="auto" w:fill="FFFFFF"/>
        <w:spacing w:after="0" w:line="360" w:lineRule="auto"/>
        <w:ind w:left="1418" w:right="-40"/>
        <w:jc w:val="both"/>
        <w:rPr>
          <w:rFonts w:ascii="Arial Narrow" w:eastAsia="Tahoma" w:hAnsi="Arial Narrow" w:cs="Tahoma"/>
          <w:lang w:val="pl" w:eastAsia="pl-PL"/>
        </w:rPr>
      </w:pPr>
      <w:r>
        <w:rPr>
          <w:rFonts w:ascii="Arial Narrow" w:eastAsia="Tahoma" w:hAnsi="Arial Narrow" w:cs="Tahoma"/>
          <w:lang w:val="pl" w:eastAsia="pl-PL"/>
        </w:rPr>
        <w:t>istniejące PS, niekorzystające ze wsparcia finansowego na utworzenie i utrzymanie miejsc pracy;</w:t>
      </w:r>
    </w:p>
    <w:p>
      <w:pPr>
        <w:numPr>
          <w:ilvl w:val="0"/>
          <w:numId w:val="16"/>
        </w:numPr>
        <w:shd w:val="clear" w:color="auto" w:fill="FFFFFF"/>
        <w:spacing w:after="0" w:line="360" w:lineRule="auto"/>
        <w:ind w:left="1418" w:right="-40"/>
        <w:jc w:val="both"/>
        <w:rPr>
          <w:rFonts w:ascii="Arial Narrow" w:eastAsia="Tahoma" w:hAnsi="Arial Narrow" w:cs="Tahoma"/>
          <w:lang w:val="pl" w:eastAsia="pl-PL"/>
        </w:rPr>
      </w:pPr>
      <w:r>
        <w:rPr>
          <w:rFonts w:ascii="Arial Narrow" w:eastAsia="Tahoma" w:hAnsi="Arial Narrow" w:cs="Tahoma"/>
          <w:lang w:val="pl" w:eastAsia="pl-PL"/>
        </w:rPr>
        <w:t xml:space="preserve">istniejące PS, korzystające ze wsparcia finansowego na utworzenie i utrzymanie miejsc pracy, </w:t>
      </w:r>
      <w:r>
        <w:rPr>
          <w:rFonts w:ascii="Arial Narrow" w:eastAsia="Tahoma" w:hAnsi="Arial Narrow" w:cs="Tahoma"/>
          <w:lang w:val="pl" w:eastAsia="pl-PL"/>
        </w:rPr>
        <w:br/>
        <w:t>po upływie okresu trwałości dla wszystkich stworzonych wcześniej miejsc pracy.</w:t>
      </w:r>
    </w:p>
    <w:p>
      <w:pPr>
        <w:numPr>
          <w:ilvl w:val="0"/>
          <w:numId w:val="3"/>
        </w:numPr>
        <w:shd w:val="clear" w:color="auto" w:fill="FFFFFF"/>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PS nie może przekroczyć limitu dofinansowania miejsc pracy wskazanego w ust. 11. Limit dotyczy miejsc pracy tworzonych jednocześnie, tj. przed upływem trwałości miejsc pracy, na które przyznane zostało dofinansowanie na utworzenie i utrzymanie miejsc pracy z OWES (bez względu na to, w którym OWES PS/PES uzyskał dofinansowanie). OWES weryfikuje ten limit w poszczególnych PS/PES na podstawie list wspartych podmiotów prowadzonych przez każdy OWES. Możliwe jest przyznanie wsparcia na utworzenie kolejnych miejsc pracy po upływie okresu trwałości dla wszystkich stworzonych wcześniej miejsc pracy.</w:t>
      </w:r>
    </w:p>
    <w:p>
      <w:pPr>
        <w:numPr>
          <w:ilvl w:val="0"/>
          <w:numId w:val="3"/>
        </w:numPr>
        <w:shd w:val="clear" w:color="auto" w:fill="FFFFFF"/>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Wsparcie finansowe na utworzenie i utrzymanie miejsca pracy jest przyznawane na podstawie wniosku, </w:t>
      </w:r>
      <w:r>
        <w:rPr>
          <w:rFonts w:ascii="Arial Narrow" w:eastAsia="Tahoma" w:hAnsi="Arial Narrow" w:cs="Tahoma"/>
          <w:lang w:val="pl" w:eastAsia="pl-PL"/>
        </w:rPr>
        <w:br/>
        <w:t>co szerzej określają dalsze zapisy Regulaminu.</w:t>
      </w:r>
    </w:p>
    <w:p>
      <w:pPr>
        <w:numPr>
          <w:ilvl w:val="0"/>
          <w:numId w:val="3"/>
        </w:numPr>
        <w:shd w:val="clear" w:color="auto" w:fill="FFFFFF"/>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Podmiot otrzymujący wsparcie w formie finansowej zobowiązany jest do wykazania braku podwójnego finansowania działań finansowanych z EFS+ ze środkami przeznaczonymi na wsparcie ekonomii społecznej ze środków publicznych, w tym w szczególności przekazanych w ramach KPO lub FERS. Szczegółowe zasady mechanizmu weryfikacji określa § 10 Regulaminu oraz umowa o udzielenie wsparcia finansowego </w:t>
      </w:r>
      <w:r>
        <w:rPr>
          <w:rFonts w:ascii="Arial Narrow" w:eastAsia="Tahoma" w:hAnsi="Arial Narrow" w:cs="Tahoma"/>
          <w:lang w:val="pl" w:eastAsia="pl-PL"/>
        </w:rPr>
        <w:br/>
        <w:t>na utworzenie i utrzymanie miejsca pracy.</w:t>
      </w:r>
    </w:p>
    <w:p>
      <w:pPr>
        <w:widowControl w:val="0"/>
        <w:numPr>
          <w:ilvl w:val="0"/>
          <w:numId w:val="3"/>
        </w:numPr>
        <w:tabs>
          <w:tab w:val="left" w:pos="750"/>
        </w:tabs>
        <w:spacing w:after="24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Wsparcie finansowe na utworzenie i utrzymanie miejsc pracy nie może być przeznaczone na działalność wykluczoną z pomocy de </w:t>
      </w:r>
      <w:proofErr w:type="spellStart"/>
      <w:r>
        <w:rPr>
          <w:rFonts w:ascii="Arial Narrow" w:eastAsia="Tahoma" w:hAnsi="Arial Narrow" w:cs="Tahoma"/>
          <w:lang w:val="pl" w:eastAsia="pl-PL"/>
        </w:rPr>
        <w:t>minimis</w:t>
      </w:r>
      <w:proofErr w:type="spellEnd"/>
      <w:r>
        <w:rPr>
          <w:rFonts w:ascii="Arial Narrow" w:eastAsia="Tahoma" w:hAnsi="Arial Narrow" w:cs="Tahoma"/>
          <w:lang w:val="pl" w:eastAsia="pl-PL"/>
        </w:rPr>
        <w:t xml:space="preserve">. </w:t>
      </w:r>
    </w:p>
    <w:p>
      <w:pPr>
        <w:spacing w:after="0" w:line="276" w:lineRule="auto"/>
        <w:jc w:val="center"/>
        <w:rPr>
          <w:rFonts w:ascii="Arial Narrow" w:eastAsia="Arial" w:hAnsi="Arial Narrow" w:cs="Arial"/>
          <w:b/>
          <w:lang w:val="pl" w:eastAsia="pl-PL"/>
        </w:rPr>
      </w:pPr>
      <w:r>
        <w:rPr>
          <w:rFonts w:ascii="Arial Narrow" w:eastAsia="Arial" w:hAnsi="Arial Narrow" w:cs="Arial"/>
          <w:b/>
          <w:lang w:val="pl" w:eastAsia="pl-PL"/>
        </w:rPr>
        <w:t>§ 2</w:t>
      </w:r>
    </w:p>
    <w:p>
      <w:pPr>
        <w:keepNext/>
        <w:keepLines/>
        <w:spacing w:after="120" w:line="276" w:lineRule="auto"/>
        <w:jc w:val="center"/>
        <w:outlineLvl w:val="0"/>
        <w:rPr>
          <w:rFonts w:ascii="Arial Narrow" w:eastAsia="Arial" w:hAnsi="Arial Narrow" w:cs="Arial"/>
          <w:b/>
          <w:lang w:val="pl" w:eastAsia="pl-PL"/>
        </w:rPr>
      </w:pPr>
      <w:bookmarkStart w:id="5" w:name="_30j0zll" w:colFirst="0" w:colLast="0"/>
      <w:bookmarkStart w:id="6" w:name="_Toc175735240"/>
      <w:bookmarkEnd w:id="5"/>
      <w:r>
        <w:rPr>
          <w:rFonts w:ascii="Arial Narrow" w:eastAsia="Arial" w:hAnsi="Arial Narrow" w:cs="Arial"/>
          <w:b/>
          <w:lang w:val="pl" w:eastAsia="pl-PL"/>
        </w:rPr>
        <w:t>Wsparcie finansowe na utworzenie i utrzymanie miejsc pracy – zasady ogólne</w:t>
      </w:r>
      <w:bookmarkEnd w:id="6"/>
    </w:p>
    <w:p>
      <w:pPr>
        <w:widowControl w:val="0"/>
        <w:numPr>
          <w:ilvl w:val="0"/>
          <w:numId w:val="11"/>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Środki finansowe na utworzenie i utrzymanie miejsc pracy w PS przyznawane są na podstawie wniosku </w:t>
      </w:r>
      <w:r>
        <w:rPr>
          <w:rFonts w:ascii="Arial Narrow" w:eastAsia="Tahoma" w:hAnsi="Arial Narrow" w:cs="Tahoma"/>
          <w:lang w:val="pl" w:eastAsia="pl-PL"/>
        </w:rPr>
        <w:br/>
        <w:t>o przyznanie wsparcia finansowego, będącego załącznikiem do niniejszego Regulaminu, złożonego przez Wnioskodawcę. Opracowanie i przygotowanie wniosku wraz z załącznikami stanowi jeden z elementów wsparcia szkoleniowo-doradczego, udzielanego w ramach niniejszego projektu, którego zasady określa odrębny regulamin.</w:t>
      </w:r>
    </w:p>
    <w:p>
      <w:pPr>
        <w:widowControl w:val="0"/>
        <w:numPr>
          <w:ilvl w:val="0"/>
          <w:numId w:val="11"/>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Środki finansowane na utworzenie i utrzymanie miejsc pracy kwalifikowalne są wyłącznie w formie stawek </w:t>
      </w:r>
      <w:r>
        <w:rPr>
          <w:rFonts w:ascii="Arial Narrow" w:eastAsia="Tahoma" w:hAnsi="Arial Narrow" w:cs="Tahoma"/>
          <w:lang w:val="pl" w:eastAsia="pl-PL"/>
        </w:rPr>
        <w:lastRenderedPageBreak/>
        <w:t xml:space="preserve">jednostkowych. </w:t>
      </w:r>
    </w:p>
    <w:p>
      <w:pPr>
        <w:widowControl w:val="0"/>
        <w:numPr>
          <w:ilvl w:val="0"/>
          <w:numId w:val="11"/>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Stawki jednostkowe dotyczą utworzenia nowego miejsca pracy i jego utrzymania przez 12 miesięcy w PS lub w PES przekształcającym się w PS. PES musi przekształcić się w PS (czyli uzyskać status PS zgodnie </w:t>
      </w:r>
      <w:r>
        <w:rPr>
          <w:rFonts w:ascii="Arial Narrow" w:eastAsia="Tahoma" w:hAnsi="Arial Narrow" w:cs="Tahoma"/>
          <w:lang w:val="pl" w:eastAsia="pl-PL"/>
        </w:rPr>
        <w:br/>
        <w:t>z ustawą o ekonomii społecznej) przed upływem 6 miesięcy od dnia utworzenia miejsca pracy.</w:t>
      </w:r>
    </w:p>
    <w:p>
      <w:pPr>
        <w:widowControl w:val="0"/>
        <w:numPr>
          <w:ilvl w:val="0"/>
          <w:numId w:val="11"/>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Stawki jednostkowe na utworzenie i utrzymanie miejsca pracy można wykorzystać tylko łącznie, tj. PS/PES nie może skorzystać tylko z jednej ze stawek.</w:t>
      </w:r>
    </w:p>
    <w:p>
      <w:pPr>
        <w:widowControl w:val="0"/>
        <w:numPr>
          <w:ilvl w:val="0"/>
          <w:numId w:val="11"/>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Stawka jednostkowa na </w:t>
      </w:r>
      <w:r>
        <w:rPr>
          <w:rFonts w:ascii="Arial Narrow" w:eastAsia="Tahoma" w:hAnsi="Arial Narrow" w:cs="Tahoma"/>
          <w:b/>
          <w:lang w:val="pl" w:eastAsia="pl-PL"/>
        </w:rPr>
        <w:t xml:space="preserve">utworzenie </w:t>
      </w:r>
      <w:r>
        <w:rPr>
          <w:rFonts w:ascii="Arial Narrow" w:eastAsia="Tahoma" w:hAnsi="Arial Narrow" w:cs="Tahoma"/>
          <w:lang w:val="pl" w:eastAsia="pl-PL"/>
        </w:rPr>
        <w:t xml:space="preserve">miejsca pracy w PS/PES wynosi </w:t>
      </w:r>
      <w:r>
        <w:rPr>
          <w:rFonts w:ascii="Arial Narrow" w:eastAsia="Tahoma" w:hAnsi="Arial Narrow" w:cs="Tahoma"/>
          <w:b/>
          <w:lang w:val="pl" w:eastAsia="pl-PL"/>
        </w:rPr>
        <w:t>35 212,00 zł</w:t>
      </w:r>
      <w:r>
        <w:rPr>
          <w:rFonts w:ascii="Arial Narrow" w:eastAsia="Tahoma" w:hAnsi="Arial Narrow" w:cs="Tahoma"/>
          <w:lang w:val="pl" w:eastAsia="pl-PL"/>
        </w:rPr>
        <w:t>.</w:t>
      </w:r>
    </w:p>
    <w:p>
      <w:pPr>
        <w:widowControl w:val="0"/>
        <w:numPr>
          <w:ilvl w:val="0"/>
          <w:numId w:val="11"/>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Stawka jednostkowa na </w:t>
      </w:r>
      <w:r>
        <w:rPr>
          <w:rFonts w:ascii="Arial Narrow" w:eastAsia="Tahoma" w:hAnsi="Arial Narrow" w:cs="Tahoma"/>
          <w:b/>
          <w:lang w:val="pl" w:eastAsia="pl-PL"/>
        </w:rPr>
        <w:t xml:space="preserve">utrzymanie </w:t>
      </w:r>
      <w:r>
        <w:rPr>
          <w:rFonts w:ascii="Arial Narrow" w:eastAsia="Tahoma" w:hAnsi="Arial Narrow" w:cs="Tahoma"/>
          <w:lang w:val="pl" w:eastAsia="pl-PL"/>
        </w:rPr>
        <w:t>miejsca pracy w PS/PES jest kwalifikowalna tylko łącznie ze stawką na utworzenie miejsca pracy i wynosi:</w:t>
      </w:r>
    </w:p>
    <w:p>
      <w:pPr>
        <w:widowControl w:val="0"/>
        <w:numPr>
          <w:ilvl w:val="0"/>
          <w:numId w:val="37"/>
        </w:numPr>
        <w:tabs>
          <w:tab w:val="left" w:pos="1108"/>
        </w:tabs>
        <w:spacing w:after="0" w:line="360" w:lineRule="auto"/>
        <w:ind w:right="-40"/>
        <w:rPr>
          <w:rFonts w:ascii="Arial Narrow" w:eastAsia="Tahoma" w:hAnsi="Arial Narrow" w:cs="Tahoma"/>
          <w:lang w:val="pl" w:eastAsia="pl-PL"/>
        </w:rPr>
      </w:pPr>
      <w:r>
        <w:rPr>
          <w:rFonts w:ascii="Arial Narrow" w:eastAsia="Tahoma" w:hAnsi="Arial Narrow" w:cs="Tahoma"/>
          <w:b/>
          <w:lang w:val="pl" w:eastAsia="pl-PL"/>
        </w:rPr>
        <w:t xml:space="preserve">38 700 zł </w:t>
      </w:r>
      <w:r>
        <w:rPr>
          <w:rFonts w:ascii="Arial Narrow" w:eastAsia="Tahoma" w:hAnsi="Arial Narrow" w:cs="Tahoma"/>
          <w:lang w:val="pl" w:eastAsia="pl-PL"/>
        </w:rPr>
        <w:t xml:space="preserve">– w przypadku utrzymania miejsca pracy na </w:t>
      </w:r>
      <w:r>
        <w:rPr>
          <w:rFonts w:ascii="Arial Narrow" w:eastAsia="Tahoma" w:hAnsi="Arial Narrow" w:cs="Tahoma"/>
          <w:b/>
          <w:lang w:val="pl" w:eastAsia="pl-PL"/>
        </w:rPr>
        <w:t xml:space="preserve">pełen etat </w:t>
      </w:r>
      <w:r>
        <w:rPr>
          <w:rFonts w:ascii="Arial Narrow" w:eastAsia="Tahoma" w:hAnsi="Arial Narrow" w:cs="Tahoma"/>
          <w:lang w:val="pl" w:eastAsia="pl-PL"/>
        </w:rPr>
        <w:t>przez 12 miesięcy</w:t>
      </w:r>
    </w:p>
    <w:p>
      <w:pPr>
        <w:widowControl w:val="0"/>
        <w:numPr>
          <w:ilvl w:val="0"/>
          <w:numId w:val="37"/>
        </w:numPr>
        <w:tabs>
          <w:tab w:val="left" w:pos="1108"/>
        </w:tabs>
        <w:spacing w:after="0" w:line="360" w:lineRule="auto"/>
        <w:ind w:right="-40"/>
        <w:rPr>
          <w:rFonts w:ascii="Arial Narrow" w:eastAsia="Tahoma" w:hAnsi="Arial Narrow" w:cs="Tahoma"/>
          <w:lang w:val="pl" w:eastAsia="pl-PL"/>
        </w:rPr>
      </w:pPr>
      <w:r>
        <w:rPr>
          <w:rFonts w:ascii="Arial Narrow" w:eastAsia="Tahoma" w:hAnsi="Arial Narrow" w:cs="Tahoma"/>
          <w:b/>
          <w:lang w:val="pl" w:eastAsia="pl-PL"/>
        </w:rPr>
        <w:t>29 026 zł</w:t>
      </w:r>
      <w:r>
        <w:rPr>
          <w:rFonts w:ascii="Arial Narrow" w:eastAsia="Tahoma" w:hAnsi="Arial Narrow" w:cs="Tahoma"/>
          <w:lang w:val="pl" w:eastAsia="pl-PL"/>
        </w:rPr>
        <w:t xml:space="preserve">– w przypadku utrzymania miejsca pracy na </w:t>
      </w:r>
      <w:r>
        <w:rPr>
          <w:rFonts w:ascii="Arial Narrow" w:eastAsia="Tahoma" w:hAnsi="Arial Narrow" w:cs="Tahoma"/>
          <w:b/>
          <w:lang w:val="pl" w:eastAsia="pl-PL"/>
        </w:rPr>
        <w:t xml:space="preserve">¾ etatu </w:t>
      </w:r>
      <w:r>
        <w:rPr>
          <w:rFonts w:ascii="Arial Narrow" w:eastAsia="Tahoma" w:hAnsi="Arial Narrow" w:cs="Tahoma"/>
          <w:lang w:val="pl" w:eastAsia="pl-PL"/>
        </w:rPr>
        <w:t>przez 12 miesięcy</w:t>
      </w:r>
    </w:p>
    <w:p>
      <w:pPr>
        <w:widowControl w:val="0"/>
        <w:numPr>
          <w:ilvl w:val="0"/>
          <w:numId w:val="37"/>
        </w:numPr>
        <w:tabs>
          <w:tab w:val="left" w:pos="1108"/>
        </w:tabs>
        <w:spacing w:after="0" w:line="360" w:lineRule="auto"/>
        <w:ind w:right="-40"/>
        <w:rPr>
          <w:rFonts w:ascii="Verdana" w:eastAsia="Tahoma" w:hAnsi="Verdana" w:cs="Tahoma"/>
          <w:lang w:val="pl" w:eastAsia="pl-PL"/>
        </w:rPr>
      </w:pPr>
      <w:r>
        <w:rPr>
          <w:rFonts w:ascii="Arial Narrow" w:eastAsia="Tahoma" w:hAnsi="Arial Narrow" w:cs="Tahoma"/>
          <w:b/>
          <w:lang w:val="pl" w:eastAsia="pl-PL"/>
        </w:rPr>
        <w:t>19 350 zł</w:t>
      </w:r>
      <w:r>
        <w:rPr>
          <w:rFonts w:ascii="Arial Narrow" w:eastAsia="Tahoma" w:hAnsi="Arial Narrow" w:cs="Tahoma"/>
          <w:lang w:val="pl" w:eastAsia="pl-PL"/>
        </w:rPr>
        <w:t xml:space="preserve">– w przypadku utrzymania miejsca pracy na </w:t>
      </w:r>
      <w:r>
        <w:rPr>
          <w:rFonts w:ascii="Arial Narrow" w:eastAsia="Tahoma" w:hAnsi="Arial Narrow" w:cs="Tahoma"/>
          <w:b/>
          <w:lang w:val="pl" w:eastAsia="pl-PL"/>
        </w:rPr>
        <w:t xml:space="preserve">½ etatu </w:t>
      </w:r>
      <w:r>
        <w:rPr>
          <w:rFonts w:ascii="Arial Narrow" w:eastAsia="Tahoma" w:hAnsi="Arial Narrow" w:cs="Tahoma"/>
          <w:lang w:val="pl" w:eastAsia="pl-PL"/>
        </w:rPr>
        <w:t>przez 12 miesięcy</w:t>
      </w:r>
    </w:p>
    <w:p>
      <w:pPr>
        <w:widowControl w:val="0"/>
        <w:numPr>
          <w:ilvl w:val="0"/>
          <w:numId w:val="11"/>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Miejsce pracy musi zostać utworzone do 3 miesięcy od dnia wypłaty środków, a dla zapewnienia kwalifikowalności musi być następnie utrzymane przez 12 miesięcy w ramach stawki na utrzymanie miejsca pracy oraz dodatkowo przez 6 miesięcy okresu trwałości liczonego od dnia zakończenia okresu utrzymania miejsca pracy.</w:t>
      </w:r>
    </w:p>
    <w:p>
      <w:pPr>
        <w:widowControl w:val="0"/>
        <w:numPr>
          <w:ilvl w:val="0"/>
          <w:numId w:val="11"/>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Stawki jednostkowe podlegają indeksacji według następujących wskaźników:</w:t>
      </w:r>
    </w:p>
    <w:p>
      <w:pPr>
        <w:widowControl w:val="0"/>
        <w:numPr>
          <w:ilvl w:val="0"/>
          <w:numId w:val="29"/>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stawka jednostkowa na utworzenie miejsca pracy w PS/PES – zmiana przeciętnego wynagrodzenia za pracę w oparciu o Komunikat Prezesa Głównego Urzędu Statystycznego o wysokości przeciętnego wynagrodzenia za poprzedni rok;</w:t>
      </w:r>
    </w:p>
    <w:p>
      <w:pPr>
        <w:widowControl w:val="0"/>
        <w:numPr>
          <w:ilvl w:val="0"/>
          <w:numId w:val="29"/>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stawka jednostkowa na utrzymanie miejsca pracy w PS/PES – zmiana minimalnego wynagrodzenia za pracę.</w:t>
      </w:r>
    </w:p>
    <w:p>
      <w:pPr>
        <w:widowControl w:val="0"/>
        <w:numPr>
          <w:ilvl w:val="0"/>
          <w:numId w:val="11"/>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Indeksacja obu stawek jednostkowych będzie przeprowadzana corocznie w terminie do 30 kwietnia, </w:t>
      </w:r>
      <w:r>
        <w:rPr>
          <w:rFonts w:ascii="Arial Narrow" w:eastAsia="Tahoma" w:hAnsi="Arial Narrow" w:cs="Tahoma"/>
          <w:lang w:val="pl" w:eastAsia="pl-PL"/>
        </w:rPr>
        <w:br/>
        <w:t>po oficjalnym ogłoszeniu wysokości przeciętnego i minimalnego wynagrodzenia przez uprawnione podmioty</w:t>
      </w:r>
      <w:r>
        <w:rPr>
          <w:rFonts w:ascii="Arial Narrow" w:eastAsia="Tahoma" w:hAnsi="Arial Narrow" w:cs="Tahoma"/>
          <w:vertAlign w:val="superscript"/>
          <w:lang w:val="pl" w:eastAsia="pl-PL"/>
        </w:rPr>
        <w:footnoteReference w:id="4"/>
      </w:r>
      <w:r>
        <w:rPr>
          <w:rFonts w:ascii="Arial Narrow" w:eastAsia="Tahoma" w:hAnsi="Arial Narrow" w:cs="Tahoma"/>
          <w:lang w:val="pl" w:eastAsia="pl-PL"/>
        </w:rPr>
        <w:t>.</w:t>
      </w:r>
    </w:p>
    <w:p>
      <w:pPr>
        <w:widowControl w:val="0"/>
        <w:numPr>
          <w:ilvl w:val="0"/>
          <w:numId w:val="11"/>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Po terminie wskazanym w ust. 9 OWES może dokonać indeksacji stawek jednostkowych (po uzyskaniu zgody IZ na zmianę wniosku o dofinansowanie), a ich obowiązywanie będzie możliwe po opublikowaniu przez OWES daty, od której nowa stawka będzie miała zastosowanie. </w:t>
      </w:r>
    </w:p>
    <w:p>
      <w:pPr>
        <w:widowControl w:val="0"/>
        <w:numPr>
          <w:ilvl w:val="0"/>
          <w:numId w:val="11"/>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Aktualne stawki jednostkowe na utworzenie i utrzymanie miejsca pracy w PS/PES będą podane wraz </w:t>
      </w:r>
      <w:r>
        <w:rPr>
          <w:rFonts w:ascii="Arial Narrow" w:eastAsia="Tahoma" w:hAnsi="Arial Narrow" w:cs="Tahoma"/>
          <w:lang w:val="pl" w:eastAsia="pl-PL"/>
        </w:rPr>
        <w:br/>
        <w:t xml:space="preserve">z ogłoszeniem o naborze wniosków na stronie internetowej projektu. Indeksacja nie dotyczy podpisanych już </w:t>
      </w:r>
      <w:r>
        <w:rPr>
          <w:rFonts w:ascii="Arial Narrow" w:eastAsia="Tahoma" w:hAnsi="Arial Narrow" w:cs="Tahoma"/>
          <w:lang w:val="pl" w:eastAsia="pl-PL"/>
        </w:rPr>
        <w:lastRenderedPageBreak/>
        <w:t>umów o wsparcie finansowe.</w:t>
      </w:r>
    </w:p>
    <w:p>
      <w:pPr>
        <w:widowControl w:val="0"/>
        <w:numPr>
          <w:ilvl w:val="0"/>
          <w:numId w:val="11"/>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Na wysokość stawki jednostkowej, a tym samym na wartość przyznanego dofinansowania, nie wpływa posiadanie statusu podatnika podatku od towarów i usług (VAT).</w:t>
      </w:r>
    </w:p>
    <w:p>
      <w:pPr>
        <w:widowControl w:val="0"/>
        <w:numPr>
          <w:ilvl w:val="0"/>
          <w:numId w:val="11"/>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Stawka jednostkowa na utworzenie miejsca pracy w PS/PES obejmuje środki finansowe przyznane PS/PES na utworzenie przez niego miejsca pracy dla osoby, która dzięki temu poprawi swój status na rynku pracy. </w:t>
      </w:r>
      <w:r>
        <w:rPr>
          <w:rFonts w:ascii="Arial Narrow" w:eastAsia="Tahoma" w:hAnsi="Arial Narrow" w:cs="Tahoma"/>
          <w:lang w:val="pl" w:eastAsia="pl-PL"/>
        </w:rPr>
        <w:br/>
        <w:t>W ramach wsparcia pokrywane są m.in. koszty składników majątku trwałego, instalacji i uruchomienia oraz ubezpieczenia i ochrony w okresie 12 miesięcy finansowania miejsca pracy, w przypadku, kiedy zachodzi taka konieczność, wyposażenia miejsca pracy wraz z kosztami dostawy, instalacji i uruchomienia, dostosowania lub adaptacji (prace remontowo-wykończeniowe budynków i pomieszczeń), aktywów obrotowych i środków produkcji, zakupu wartości niematerialnych i prawnych, opłat związanych z uruchomieniem leasingu oraz kredytu inwestycyjnego.</w:t>
      </w:r>
    </w:p>
    <w:p>
      <w:pPr>
        <w:widowControl w:val="0"/>
        <w:numPr>
          <w:ilvl w:val="0"/>
          <w:numId w:val="11"/>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Jako miejsce pracy na potrzeby rozliczenia stawki jednostkowej na utworzenie miejsca pracy należy rozumieć zatrudnienie na podstawie umowy o pracę lub spółdzielczej umowy o pracę w wymiarze:</w:t>
      </w:r>
    </w:p>
    <w:p>
      <w:pPr>
        <w:widowControl w:val="0"/>
        <w:numPr>
          <w:ilvl w:val="0"/>
          <w:numId w:val="30"/>
        </w:numPr>
        <w:tabs>
          <w:tab w:val="left" w:pos="1418"/>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co najmniej ½ etatu,</w:t>
      </w:r>
    </w:p>
    <w:p>
      <w:pPr>
        <w:widowControl w:val="0"/>
        <w:numPr>
          <w:ilvl w:val="0"/>
          <w:numId w:val="30"/>
        </w:numPr>
        <w:tabs>
          <w:tab w:val="left" w:pos="1418"/>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w przypadku osób z niepełnosprawnością sprzężoną lub ze znacznym stopniem niepełnosprawności</w:t>
      </w:r>
      <w:r>
        <w:rPr>
          <w:rFonts w:ascii="Arial Narrow" w:eastAsia="Tahoma" w:hAnsi="Arial Narrow" w:cs="Tahoma"/>
          <w:vertAlign w:val="superscript"/>
          <w:lang w:val="pl" w:eastAsia="pl-PL"/>
        </w:rPr>
        <w:t xml:space="preserve"> </w:t>
      </w:r>
      <w:r>
        <w:rPr>
          <w:rFonts w:ascii="Arial Narrow" w:eastAsia="Tahoma" w:hAnsi="Arial Narrow" w:cs="Tahoma"/>
          <w:lang w:val="pl" w:eastAsia="pl-PL"/>
        </w:rPr>
        <w:t>w wymiarze co najmniej ¼ etatu.</w:t>
      </w:r>
    </w:p>
    <w:p>
      <w:pPr>
        <w:widowControl w:val="0"/>
        <w:numPr>
          <w:ilvl w:val="0"/>
          <w:numId w:val="11"/>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OWES w okresie do 3 miesięcy od dnia wypłaty wsparcia weryfikuje faktyczne utworzenie miejsca pracy i tym samym kwalifikowalność stawki na utworzenie miejsca pracy. Za dzień utworzenia miejsca pracy uznaje się datę rozpoczęcia pracy nowozatrudnionej osoby. </w:t>
      </w:r>
    </w:p>
    <w:p>
      <w:pPr>
        <w:widowControl w:val="0"/>
        <w:numPr>
          <w:ilvl w:val="0"/>
          <w:numId w:val="11"/>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W przypadku braku utworzenia miejsca pracy w terminie do 3 miesięcy od dnia wypłaty środków, stawka na utworzenie miejsca pracy jest niekwalifikowalna w całości, co oznacza konieczność zwrotu przez PS wszystkich otrzymanych środków. Okres ten w uzasadnionych przypadkach</w:t>
      </w:r>
      <w:r>
        <w:rPr>
          <w:rFonts w:ascii="Arial Narrow" w:eastAsia="Tahoma" w:hAnsi="Arial Narrow" w:cs="Tahoma"/>
          <w:vertAlign w:val="superscript"/>
          <w:lang w:val="pl" w:eastAsia="pl-PL"/>
        </w:rPr>
        <w:footnoteReference w:id="5"/>
      </w:r>
      <w:r>
        <w:rPr>
          <w:rFonts w:ascii="Arial Narrow" w:eastAsia="Tahoma" w:hAnsi="Arial Narrow" w:cs="Tahoma"/>
          <w:lang w:val="pl" w:eastAsia="pl-PL"/>
        </w:rPr>
        <w:t xml:space="preserve"> może zostać wydłużony o dodatkowe 30 dni. </w:t>
      </w:r>
    </w:p>
    <w:p>
      <w:pPr>
        <w:widowControl w:val="0"/>
        <w:numPr>
          <w:ilvl w:val="0"/>
          <w:numId w:val="11"/>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Wsparcie w formie stawki jednostkowej na utrzymanie miejsca pracy w PS/PES obejmuje środki finansowe przyznane PS/PES na utrzymanie miejsca pracy przez okres 12 miesięcy (tj. od 1 do 12 miesiąca), które zostało przez PS/PES utworzone w ramach stawki na utworzenie miejsca pracy.</w:t>
      </w:r>
    </w:p>
    <w:p>
      <w:pPr>
        <w:widowControl w:val="0"/>
        <w:numPr>
          <w:ilvl w:val="0"/>
          <w:numId w:val="11"/>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Wsparcie obejmuje koszty funkcjonowania miejsca pracy w pierwszym okresie od utworzenia, tj. m.in.:</w:t>
      </w:r>
    </w:p>
    <w:p>
      <w:pPr>
        <w:widowControl w:val="0"/>
        <w:numPr>
          <w:ilvl w:val="0"/>
          <w:numId w:val="31"/>
        </w:numPr>
        <w:tabs>
          <w:tab w:val="left" w:pos="1418"/>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koszty zatrudnienia (w tym wynagrodzenia) osoby na nowo utworzonym miejscu pracy,</w:t>
      </w:r>
    </w:p>
    <w:p>
      <w:pPr>
        <w:widowControl w:val="0"/>
        <w:numPr>
          <w:ilvl w:val="0"/>
          <w:numId w:val="31"/>
        </w:numPr>
        <w:tabs>
          <w:tab w:val="left" w:pos="1418"/>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koszty obowiązkowych opłat, tj. np. składki na ubezpieczenie społeczne, zdrowotne,</w:t>
      </w:r>
    </w:p>
    <w:p>
      <w:pPr>
        <w:widowControl w:val="0"/>
        <w:numPr>
          <w:ilvl w:val="0"/>
          <w:numId w:val="31"/>
        </w:numPr>
        <w:tabs>
          <w:tab w:val="left" w:pos="1418"/>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bieżące niezbędne wydatki dotyczące stanowiska pracy, bez których funkcjonowanie PS nie może się odbywać.</w:t>
      </w:r>
    </w:p>
    <w:p>
      <w:pPr>
        <w:widowControl w:val="0"/>
        <w:numPr>
          <w:ilvl w:val="0"/>
          <w:numId w:val="11"/>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Wsparcie w formie stawki jednostkowej na utrzymanie miejsca pracy uznaje się za kwalifikowalne po upływie </w:t>
      </w:r>
      <w:r>
        <w:rPr>
          <w:rFonts w:ascii="Arial Narrow" w:eastAsia="Tahoma" w:hAnsi="Arial Narrow" w:cs="Tahoma"/>
          <w:lang w:val="pl" w:eastAsia="pl-PL"/>
        </w:rPr>
        <w:lastRenderedPageBreak/>
        <w:t>12 miesięcy utrzymania miejsca pracy. Środki w ramach stawki są wypłacane PS wcześniej, w miesięcznych transzach. Szczegółowe zasady wypłaty wsparcia na utrzymanie miejsca pracy określa § 7 Regulaminu.</w:t>
      </w:r>
    </w:p>
    <w:p>
      <w:pPr>
        <w:widowControl w:val="0"/>
        <w:numPr>
          <w:ilvl w:val="0"/>
          <w:numId w:val="11"/>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Stawka jednostkowa na utrzymanie miejsca pracy w PS jest kwalifikowalna, jeżeli spełniony zostanie </w:t>
      </w:r>
      <w:r>
        <w:rPr>
          <w:rFonts w:ascii="Arial Narrow" w:eastAsia="Tahoma" w:hAnsi="Arial Narrow" w:cs="Tahoma"/>
          <w:lang w:val="pl" w:eastAsia="pl-PL"/>
        </w:rPr>
        <w:br/>
        <w:t>warunek, tj.:</w:t>
      </w:r>
    </w:p>
    <w:p>
      <w:pPr>
        <w:widowControl w:val="0"/>
        <w:numPr>
          <w:ilvl w:val="0"/>
          <w:numId w:val="4"/>
        </w:numPr>
        <w:tabs>
          <w:tab w:val="left" w:pos="1108"/>
        </w:tabs>
        <w:spacing w:after="0" w:line="360" w:lineRule="auto"/>
        <w:ind w:left="1465" w:right="-40"/>
        <w:jc w:val="both"/>
        <w:rPr>
          <w:rFonts w:ascii="Arial Narrow" w:eastAsia="Tahoma" w:hAnsi="Arial Narrow" w:cs="Tahoma"/>
          <w:lang w:val="pl" w:eastAsia="pl-PL"/>
        </w:rPr>
      </w:pPr>
      <w:r>
        <w:rPr>
          <w:rFonts w:ascii="Arial Narrow" w:eastAsia="Tahoma" w:hAnsi="Arial Narrow" w:cs="Tahoma"/>
          <w:lang w:val="pl" w:eastAsia="pl-PL"/>
        </w:rPr>
        <w:t>miejsce pracy zostało utrzymane przez 12 miesięcy na pełny etat, lub</w:t>
      </w:r>
    </w:p>
    <w:p>
      <w:pPr>
        <w:widowControl w:val="0"/>
        <w:numPr>
          <w:ilvl w:val="0"/>
          <w:numId w:val="4"/>
        </w:numPr>
        <w:tabs>
          <w:tab w:val="left" w:pos="1108"/>
        </w:tabs>
        <w:spacing w:after="0" w:line="360" w:lineRule="auto"/>
        <w:ind w:left="1465" w:right="-40"/>
        <w:jc w:val="both"/>
        <w:rPr>
          <w:rFonts w:ascii="Arial Narrow" w:eastAsia="Tahoma" w:hAnsi="Arial Narrow" w:cs="Tahoma"/>
          <w:lang w:val="pl" w:eastAsia="pl-PL"/>
        </w:rPr>
      </w:pPr>
      <w:r>
        <w:rPr>
          <w:rFonts w:ascii="Arial Narrow" w:eastAsia="Tahoma" w:hAnsi="Arial Narrow" w:cs="Tahoma"/>
          <w:lang w:val="pl" w:eastAsia="pl-PL"/>
        </w:rPr>
        <w:t>miejsce pracy zostało utrzymane przez 12 miesięcy w wymiarze co najmniej ¾ etatu, lub</w:t>
      </w:r>
    </w:p>
    <w:p>
      <w:pPr>
        <w:widowControl w:val="0"/>
        <w:numPr>
          <w:ilvl w:val="0"/>
          <w:numId w:val="4"/>
        </w:numPr>
        <w:tabs>
          <w:tab w:val="left" w:pos="1108"/>
        </w:tabs>
        <w:spacing w:after="0" w:line="360" w:lineRule="auto"/>
        <w:ind w:left="1465" w:right="-40"/>
        <w:jc w:val="both"/>
        <w:rPr>
          <w:rFonts w:ascii="Arial Narrow" w:eastAsia="Tahoma" w:hAnsi="Arial Narrow" w:cs="Tahoma"/>
          <w:lang w:val="pl" w:eastAsia="pl-PL"/>
        </w:rPr>
      </w:pPr>
      <w:r>
        <w:rPr>
          <w:rFonts w:ascii="Arial Narrow" w:eastAsia="Tahoma" w:hAnsi="Arial Narrow" w:cs="Tahoma"/>
          <w:lang w:val="pl" w:eastAsia="pl-PL"/>
        </w:rPr>
        <w:t>miejsce pracy zostało utrzymane przez 12 miesięcy w wymiarze co najmniej ½ etatu</w:t>
      </w:r>
      <w:r>
        <w:rPr>
          <w:rFonts w:ascii="Arial Narrow" w:eastAsia="Tahoma" w:hAnsi="Arial Narrow" w:cs="Tahoma"/>
          <w:vertAlign w:val="superscript"/>
          <w:lang w:val="pl" w:eastAsia="pl-PL"/>
        </w:rPr>
        <w:footnoteReference w:id="6"/>
      </w:r>
      <w:r>
        <w:rPr>
          <w:rFonts w:ascii="Arial Narrow" w:eastAsia="Tahoma" w:hAnsi="Arial Narrow" w:cs="Tahoma"/>
          <w:lang w:val="pl" w:eastAsia="pl-PL"/>
        </w:rPr>
        <w:t>.</w:t>
      </w:r>
    </w:p>
    <w:p>
      <w:pPr>
        <w:widowControl w:val="0"/>
        <w:numPr>
          <w:ilvl w:val="0"/>
          <w:numId w:val="11"/>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Dla celu ustalenia wysokości stawki wsparcia wymiar ¼ etatu osób z niepełnosprawnościami sprzężonymi lub ze znacznym stopniem niepełnosprawności uznaje się za równoznaczny z wymiarem ½ etatu innych osób objętych wsparciem.</w:t>
      </w:r>
    </w:p>
    <w:p>
      <w:pPr>
        <w:widowControl w:val="0"/>
        <w:numPr>
          <w:ilvl w:val="0"/>
          <w:numId w:val="11"/>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Po okresie utrzymania miejsca pracy wymagane jest zachowanie okresu trwałości, który wynosi 6 miesięcy od zakończenia okresu utrzymania miejsca pracy (mierzone od momentu upływu okresu 12 miesięcy finansowania utrzymania miejsca pracy). W przypadku niezachowania okresu trwałości naliczane będą korekty finansowe proporcjonalnie do okresu niezachowania trwałości</w:t>
      </w:r>
      <w:r>
        <w:rPr>
          <w:rFonts w:ascii="Arial Narrow" w:eastAsia="Tahoma" w:hAnsi="Arial Narrow" w:cs="Tahoma"/>
          <w:vertAlign w:val="superscript"/>
          <w:lang w:val="pl" w:eastAsia="pl-PL"/>
        </w:rPr>
        <w:footnoteReference w:id="7"/>
      </w:r>
      <w:r>
        <w:rPr>
          <w:rFonts w:ascii="Arial Narrow" w:eastAsia="Tahoma" w:hAnsi="Arial Narrow" w:cs="Tahoma"/>
          <w:lang w:val="pl" w:eastAsia="pl-PL"/>
        </w:rPr>
        <w:t>. W przypadku wystąpienia siły wyższej</w:t>
      </w:r>
      <w:r>
        <w:rPr>
          <w:rFonts w:ascii="Arial Narrow" w:eastAsia="Tahoma" w:hAnsi="Arial Narrow" w:cs="Tahoma"/>
          <w:vertAlign w:val="superscript"/>
          <w:lang w:val="pl" w:eastAsia="pl-PL"/>
        </w:rPr>
        <w:footnoteReference w:id="8"/>
      </w:r>
      <w:r>
        <w:rPr>
          <w:rFonts w:ascii="Arial Narrow" w:eastAsia="Tahoma" w:hAnsi="Arial Narrow" w:cs="Tahoma"/>
          <w:vertAlign w:val="superscript"/>
          <w:lang w:val="pl" w:eastAsia="pl-PL"/>
        </w:rPr>
        <w:t xml:space="preserve"> </w:t>
      </w:r>
      <w:r>
        <w:rPr>
          <w:rFonts w:ascii="Arial Narrow" w:eastAsia="Tahoma" w:hAnsi="Arial Narrow" w:cs="Tahoma"/>
          <w:lang w:val="pl" w:eastAsia="pl-PL"/>
        </w:rPr>
        <w:t>w okresie trwałości nie jest dochodzony zwrot środków, a stawka nadal uznawana jest za kwalifikowalną.</w:t>
      </w:r>
    </w:p>
    <w:p>
      <w:pPr>
        <w:widowControl w:val="0"/>
        <w:numPr>
          <w:ilvl w:val="0"/>
          <w:numId w:val="11"/>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Miejsce pracy uznaje się za utrzymane pod warunkiem nieprzerwanego zatrudnienia na nim osób, o których mowa w § 1 ust. 2. Dopuszcza się przerwy w zatrudnieniu nie dłuższe niż łącznie 30 dni kalendarzowych </w:t>
      </w:r>
      <w:r>
        <w:rPr>
          <w:rFonts w:ascii="Arial Narrow" w:eastAsia="Tahoma" w:hAnsi="Arial Narrow" w:cs="Tahoma"/>
          <w:lang w:val="pl" w:eastAsia="pl-PL"/>
        </w:rPr>
        <w:br/>
        <w:t>w okresie 12 miesięcy uprawniające do kwalifikowania stawki jednostkowej. Każdy kolejny dzień przerwy (ponad dopuszczalne 30 dni) odpowiednio wydłuża okres utrzymania miejsca pracy.</w:t>
      </w:r>
    </w:p>
    <w:p>
      <w:pPr>
        <w:widowControl w:val="0"/>
        <w:numPr>
          <w:ilvl w:val="0"/>
          <w:numId w:val="11"/>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W przypadku braku możliwości zastąpienia osoby z niepełnosprawnością sprzężoną lub ze znacznym stopniem niepełnosprawności, zatrudnionej w wymiarze ¼ etatu, możliwe jest zatrudnienie innej osoby niespełniającej tego kryterium w wymiarze co najmniej ½ etatu pod warunkiem, że spełnia przesłanki, o których mowa w § 1 ust. 2.</w:t>
      </w:r>
    </w:p>
    <w:p>
      <w:pPr>
        <w:widowControl w:val="0"/>
        <w:numPr>
          <w:ilvl w:val="0"/>
          <w:numId w:val="11"/>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Dokumentami potwierdzającymi kwalifikowalność stawek jednostkowych, a tym samym właściwe rozliczenie </w:t>
      </w:r>
      <w:r>
        <w:rPr>
          <w:rFonts w:ascii="Arial Narrow" w:eastAsia="Tahoma" w:hAnsi="Arial Narrow" w:cs="Tahoma"/>
          <w:lang w:val="pl" w:eastAsia="pl-PL"/>
        </w:rPr>
        <w:br/>
        <w:t>i potwierdzenie utworzenia i utrzymania miejsc pracy, są w szczególności:</w:t>
      </w:r>
    </w:p>
    <w:p>
      <w:pPr>
        <w:widowControl w:val="0"/>
        <w:numPr>
          <w:ilvl w:val="0"/>
          <w:numId w:val="9"/>
        </w:numPr>
        <w:tabs>
          <w:tab w:val="left" w:pos="1108"/>
        </w:tabs>
        <w:spacing w:after="0" w:line="360" w:lineRule="auto"/>
        <w:ind w:right="-40"/>
        <w:jc w:val="both"/>
        <w:rPr>
          <w:rFonts w:ascii="Arial Narrow" w:eastAsia="Arial" w:hAnsi="Arial Narrow" w:cs="Tahoma"/>
          <w:lang w:val="pl" w:eastAsia="pl-PL"/>
        </w:rPr>
      </w:pPr>
      <w:r>
        <w:rPr>
          <w:rFonts w:ascii="Arial Narrow" w:eastAsia="Tahoma" w:hAnsi="Arial Narrow" w:cs="Tahoma"/>
          <w:lang w:val="pl" w:eastAsia="pl-PL"/>
        </w:rPr>
        <w:t>dla stawki na utworzenie miejsca pracy w PS/PES:</w:t>
      </w:r>
    </w:p>
    <w:p>
      <w:pPr>
        <w:widowControl w:val="0"/>
        <w:numPr>
          <w:ilvl w:val="1"/>
          <w:numId w:val="9"/>
        </w:numPr>
        <w:tabs>
          <w:tab w:val="left" w:pos="1470"/>
        </w:tabs>
        <w:spacing w:after="0" w:line="360" w:lineRule="auto"/>
        <w:ind w:right="-40"/>
        <w:jc w:val="both"/>
        <w:rPr>
          <w:rFonts w:ascii="Arial Narrow" w:eastAsia="Arial" w:hAnsi="Arial Narrow" w:cs="Tahoma"/>
          <w:lang w:val="pl" w:eastAsia="pl-PL"/>
        </w:rPr>
      </w:pPr>
      <w:r>
        <w:rPr>
          <w:rFonts w:ascii="Arial Narrow" w:eastAsia="Tahoma" w:hAnsi="Arial Narrow" w:cs="Tahoma"/>
          <w:lang w:val="pl" w:eastAsia="pl-PL"/>
        </w:rPr>
        <w:t xml:space="preserve">podpisana umowa wsparcia wskazująca na liczbę miejsc pracy w danym PS i liczbę miejsc pracy, </w:t>
      </w:r>
      <w:r>
        <w:rPr>
          <w:rFonts w:ascii="Arial Narrow" w:eastAsia="Tahoma" w:hAnsi="Arial Narrow" w:cs="Tahoma"/>
          <w:lang w:val="pl" w:eastAsia="pl-PL"/>
        </w:rPr>
        <w:lastRenderedPageBreak/>
        <w:t>które tworzone są w oparciu o przyznane stawki wraz z wymiarem etatowym tych miejsc;</w:t>
      </w:r>
    </w:p>
    <w:p>
      <w:pPr>
        <w:widowControl w:val="0"/>
        <w:numPr>
          <w:ilvl w:val="1"/>
          <w:numId w:val="9"/>
        </w:numPr>
        <w:tabs>
          <w:tab w:val="left" w:pos="1470"/>
        </w:tabs>
        <w:spacing w:after="0" w:line="360" w:lineRule="auto"/>
        <w:ind w:right="-40"/>
        <w:jc w:val="both"/>
        <w:rPr>
          <w:rFonts w:ascii="Arial Narrow" w:eastAsia="Arial" w:hAnsi="Arial Narrow" w:cs="Tahoma"/>
          <w:lang w:val="pl" w:eastAsia="pl-PL"/>
        </w:rPr>
      </w:pPr>
      <w:r>
        <w:rPr>
          <w:rFonts w:ascii="Arial Narrow" w:eastAsia="Tahoma" w:hAnsi="Arial Narrow" w:cs="Tahoma"/>
          <w:lang w:val="pl" w:eastAsia="pl-PL"/>
        </w:rPr>
        <w:t>potwierdzenie przelewu stawki jednostkowej do PS/PES;</w:t>
      </w:r>
    </w:p>
    <w:p>
      <w:pPr>
        <w:widowControl w:val="0"/>
        <w:numPr>
          <w:ilvl w:val="1"/>
          <w:numId w:val="9"/>
        </w:numPr>
        <w:tabs>
          <w:tab w:val="left" w:pos="1470"/>
        </w:tabs>
        <w:spacing w:after="0" w:line="360" w:lineRule="auto"/>
        <w:ind w:right="-40"/>
        <w:jc w:val="both"/>
        <w:rPr>
          <w:rFonts w:ascii="Arial Narrow" w:eastAsia="Arial" w:hAnsi="Arial Narrow" w:cs="Tahoma"/>
          <w:lang w:val="pl" w:eastAsia="pl-PL"/>
        </w:rPr>
      </w:pPr>
      <w:r>
        <w:rPr>
          <w:rFonts w:ascii="Arial Narrow" w:eastAsia="Tahoma" w:hAnsi="Arial Narrow" w:cs="Tahoma"/>
          <w:lang w:val="pl" w:eastAsia="pl-PL"/>
        </w:rPr>
        <w:t>kopia umowy o pracę lub umowy spółdzielczej potwierdzająca utworzenie miejsca pracy;</w:t>
      </w:r>
    </w:p>
    <w:p>
      <w:pPr>
        <w:widowControl w:val="0"/>
        <w:numPr>
          <w:ilvl w:val="1"/>
          <w:numId w:val="9"/>
        </w:numPr>
        <w:tabs>
          <w:tab w:val="left" w:pos="1470"/>
        </w:tabs>
        <w:spacing w:after="0" w:line="360" w:lineRule="auto"/>
        <w:ind w:right="-40"/>
        <w:jc w:val="both"/>
        <w:rPr>
          <w:rFonts w:ascii="Arial Narrow" w:eastAsia="Arial" w:hAnsi="Arial Narrow" w:cs="Tahoma"/>
          <w:lang w:val="pl" w:eastAsia="pl-PL"/>
        </w:rPr>
      </w:pPr>
      <w:r>
        <w:rPr>
          <w:rFonts w:ascii="Arial Narrow" w:eastAsia="Tahoma" w:hAnsi="Arial Narrow" w:cs="Tahoma"/>
          <w:lang w:val="pl" w:eastAsia="pl-PL"/>
        </w:rPr>
        <w:t>w przypadku nowotworzonych PS oraz PES przekształcających się w PS, dokumenty potwierdzające założenie/rejestrację nowego PS;</w:t>
      </w:r>
    </w:p>
    <w:p>
      <w:pPr>
        <w:widowControl w:val="0"/>
        <w:numPr>
          <w:ilvl w:val="1"/>
          <w:numId w:val="9"/>
        </w:numPr>
        <w:tabs>
          <w:tab w:val="left" w:pos="1469"/>
          <w:tab w:val="left" w:pos="1470"/>
        </w:tabs>
        <w:spacing w:after="0" w:line="360" w:lineRule="auto"/>
        <w:ind w:right="-40"/>
        <w:jc w:val="both"/>
        <w:rPr>
          <w:rFonts w:ascii="Arial Narrow" w:eastAsia="Arial" w:hAnsi="Arial Narrow" w:cs="Tahoma"/>
          <w:lang w:val="pl" w:eastAsia="pl-PL"/>
        </w:rPr>
      </w:pPr>
      <w:r>
        <w:rPr>
          <w:rFonts w:ascii="Arial Narrow" w:eastAsia="Tahoma" w:hAnsi="Arial Narrow" w:cs="Tahoma"/>
          <w:lang w:val="pl" w:eastAsia="pl-PL"/>
        </w:rPr>
        <w:t xml:space="preserve">orzeczenie o niepełnosprawności lub inny dokument potwierdzający stopień niepełnosprawności – w przypadku utworzenia miejsca pracy dla osób z niepełnosprawnościami sprzężonymi lub </w:t>
      </w:r>
      <w:r>
        <w:rPr>
          <w:rFonts w:ascii="Arial Narrow" w:eastAsia="Tahoma" w:hAnsi="Arial Narrow" w:cs="Tahoma"/>
          <w:lang w:val="pl" w:eastAsia="pl-PL"/>
        </w:rPr>
        <w:br/>
        <w:t>ze znacznym stopniem niepełnosprawności w wymiarze co najmniej ¼ etatu;</w:t>
      </w:r>
    </w:p>
    <w:p>
      <w:pPr>
        <w:widowControl w:val="0"/>
        <w:numPr>
          <w:ilvl w:val="0"/>
          <w:numId w:val="9"/>
        </w:numPr>
        <w:tabs>
          <w:tab w:val="left" w:pos="1108"/>
        </w:tabs>
        <w:spacing w:after="0" w:line="360" w:lineRule="auto"/>
        <w:ind w:right="-40"/>
        <w:jc w:val="both"/>
        <w:rPr>
          <w:rFonts w:ascii="Arial Narrow" w:eastAsia="Arial" w:hAnsi="Arial Narrow" w:cs="Tahoma"/>
          <w:lang w:val="pl" w:eastAsia="pl-PL"/>
        </w:rPr>
      </w:pPr>
      <w:r>
        <w:rPr>
          <w:rFonts w:ascii="Arial Narrow" w:eastAsia="Tahoma" w:hAnsi="Arial Narrow" w:cs="Tahoma"/>
          <w:lang w:val="pl" w:eastAsia="pl-PL"/>
        </w:rPr>
        <w:t>dla stawki na utrzymanie miejsca pracy w PS/PES:</w:t>
      </w:r>
    </w:p>
    <w:p>
      <w:pPr>
        <w:widowControl w:val="0"/>
        <w:numPr>
          <w:ilvl w:val="1"/>
          <w:numId w:val="9"/>
        </w:numPr>
        <w:tabs>
          <w:tab w:val="left" w:pos="1470"/>
        </w:tabs>
        <w:spacing w:after="0" w:line="360" w:lineRule="auto"/>
        <w:ind w:right="-40"/>
        <w:jc w:val="both"/>
        <w:rPr>
          <w:rFonts w:ascii="Arial Narrow" w:eastAsia="Arial" w:hAnsi="Arial Narrow" w:cs="Tahoma"/>
          <w:lang w:val="pl" w:eastAsia="pl-PL"/>
        </w:rPr>
      </w:pPr>
      <w:r>
        <w:rPr>
          <w:rFonts w:ascii="Arial Narrow" w:eastAsia="Tahoma" w:hAnsi="Arial Narrow" w:cs="Tahoma"/>
          <w:lang w:val="pl" w:eastAsia="pl-PL"/>
        </w:rPr>
        <w:t>kopia umowy o pracę lub umowa spółdzielcza oraz świadectwa pracy (jeśli dotyczy) wszystkich osób zatrudnionych na nowoutworzonych miejscach pracy w okresie 12 miesięcy od ich utworzenia;</w:t>
      </w:r>
    </w:p>
    <w:p>
      <w:pPr>
        <w:widowControl w:val="0"/>
        <w:numPr>
          <w:ilvl w:val="1"/>
          <w:numId w:val="9"/>
        </w:numPr>
        <w:tabs>
          <w:tab w:val="left" w:pos="1470"/>
        </w:tabs>
        <w:spacing w:after="0" w:line="360" w:lineRule="auto"/>
        <w:ind w:right="-40"/>
        <w:jc w:val="both"/>
        <w:rPr>
          <w:rFonts w:ascii="Arial Narrow" w:eastAsia="Arial" w:hAnsi="Arial Narrow" w:cs="Tahoma"/>
          <w:lang w:val="pl" w:eastAsia="pl-PL"/>
        </w:rPr>
      </w:pPr>
      <w:r>
        <w:rPr>
          <w:rFonts w:ascii="Arial Narrow" w:eastAsia="Tahoma" w:hAnsi="Arial Narrow" w:cs="Tahoma"/>
          <w:lang w:val="pl" w:eastAsia="pl-PL"/>
        </w:rPr>
        <w:t>potwierdzenie opłacania składek ZUS przez 12 miesięcy wszystkich osób zatrudnionych na nowoutworzonych miejscach pracy;</w:t>
      </w:r>
    </w:p>
    <w:p>
      <w:pPr>
        <w:widowControl w:val="0"/>
        <w:numPr>
          <w:ilvl w:val="1"/>
          <w:numId w:val="9"/>
        </w:numPr>
        <w:tabs>
          <w:tab w:val="left" w:pos="1470"/>
        </w:tabs>
        <w:spacing w:after="0" w:line="360" w:lineRule="auto"/>
        <w:ind w:right="-40"/>
        <w:jc w:val="both"/>
        <w:rPr>
          <w:rFonts w:ascii="Arial Narrow" w:eastAsia="Arial" w:hAnsi="Arial Narrow" w:cs="Tahoma"/>
          <w:lang w:val="pl" w:eastAsia="pl-PL"/>
        </w:rPr>
      </w:pPr>
      <w:r>
        <w:rPr>
          <w:rFonts w:ascii="Arial Narrow" w:eastAsia="Tahoma" w:hAnsi="Arial Narrow" w:cs="Tahoma"/>
          <w:lang w:val="pl" w:eastAsia="pl-PL"/>
        </w:rPr>
        <w:t>potwierdzenie przelewu/ów w wysokości odpowiadającej stawce jednostkowej do PS.</w:t>
      </w:r>
    </w:p>
    <w:p>
      <w:pPr>
        <w:widowControl w:val="0"/>
        <w:numPr>
          <w:ilvl w:val="0"/>
          <w:numId w:val="11"/>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Utworzenie każdego nowego miejsca pracy w PS oraz utrzymanie miejsca pracy w PS podlega kontroli zgodnie z postanowieniami § 8 regulaminu.</w:t>
      </w:r>
    </w:p>
    <w:p>
      <w:pPr>
        <w:spacing w:after="0" w:line="240" w:lineRule="auto"/>
        <w:jc w:val="center"/>
        <w:rPr>
          <w:rFonts w:ascii="Arial Narrow" w:eastAsia="Arial" w:hAnsi="Arial Narrow" w:cs="Arial"/>
          <w:b/>
          <w:lang w:val="pl" w:eastAsia="pl-PL"/>
        </w:rPr>
      </w:pPr>
      <w:r>
        <w:rPr>
          <w:rFonts w:ascii="Arial Narrow" w:eastAsia="Arial" w:hAnsi="Arial Narrow" w:cs="Arial"/>
          <w:b/>
          <w:lang w:val="pl" w:eastAsia="pl-PL"/>
        </w:rPr>
        <w:t>§ 3</w:t>
      </w:r>
    </w:p>
    <w:p>
      <w:pPr>
        <w:keepNext/>
        <w:keepLines/>
        <w:spacing w:after="120" w:line="276" w:lineRule="auto"/>
        <w:jc w:val="center"/>
        <w:outlineLvl w:val="0"/>
        <w:rPr>
          <w:rFonts w:ascii="Arial Narrow" w:eastAsia="Arial" w:hAnsi="Arial Narrow" w:cs="Arial"/>
          <w:b/>
          <w:lang w:val="pl" w:eastAsia="pl-PL"/>
        </w:rPr>
      </w:pPr>
      <w:bookmarkStart w:id="7" w:name="_1fob9te" w:colFirst="0" w:colLast="0"/>
      <w:bookmarkStart w:id="8" w:name="_Toc175735241"/>
      <w:bookmarkEnd w:id="7"/>
      <w:r>
        <w:rPr>
          <w:rFonts w:ascii="Arial Narrow" w:eastAsia="Arial" w:hAnsi="Arial Narrow" w:cs="Arial"/>
          <w:b/>
          <w:lang w:val="pl" w:eastAsia="pl-PL"/>
        </w:rPr>
        <w:t xml:space="preserve">Pomoc de </w:t>
      </w:r>
      <w:proofErr w:type="spellStart"/>
      <w:r>
        <w:rPr>
          <w:rFonts w:ascii="Arial Narrow" w:eastAsia="Arial" w:hAnsi="Arial Narrow" w:cs="Arial"/>
          <w:b/>
          <w:lang w:val="pl" w:eastAsia="pl-PL"/>
        </w:rPr>
        <w:t>minimis</w:t>
      </w:r>
      <w:bookmarkEnd w:id="8"/>
      <w:proofErr w:type="spellEnd"/>
    </w:p>
    <w:p>
      <w:pPr>
        <w:widowControl w:val="0"/>
        <w:numPr>
          <w:ilvl w:val="0"/>
          <w:numId w:val="2"/>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Wsparcie finansowe na utworzenie i utrzymanie miejsc pracy udzielane jest wyłącznie w formule pomocy </w:t>
      </w:r>
      <w:r>
        <w:rPr>
          <w:rFonts w:ascii="Arial Narrow" w:eastAsia="Tahoma" w:hAnsi="Arial Narrow" w:cs="Tahoma"/>
          <w:lang w:val="pl" w:eastAsia="pl-PL"/>
        </w:rPr>
        <w:br/>
        <w:t xml:space="preserve">de </w:t>
      </w:r>
      <w:proofErr w:type="spellStart"/>
      <w:r>
        <w:rPr>
          <w:rFonts w:ascii="Arial Narrow" w:eastAsia="Tahoma" w:hAnsi="Arial Narrow" w:cs="Tahoma"/>
          <w:lang w:val="pl" w:eastAsia="pl-PL"/>
        </w:rPr>
        <w:t>minimis</w:t>
      </w:r>
      <w:proofErr w:type="spellEnd"/>
      <w:r>
        <w:rPr>
          <w:rFonts w:ascii="Arial Narrow" w:eastAsia="Tahoma" w:hAnsi="Arial Narrow" w:cs="Tahoma"/>
          <w:lang w:val="pl" w:eastAsia="pl-PL"/>
        </w:rPr>
        <w:t xml:space="preserve">, zgodnie z rozporządzeniem Komisji (UE) 2023/2831 z dnia 13 grudnia 2023 r. w sprawie stosowania art. 107 i 108 Traktatu o funkcjonowaniu Unii Europejskiej do pomocy de </w:t>
      </w:r>
      <w:proofErr w:type="spellStart"/>
      <w:r>
        <w:rPr>
          <w:rFonts w:ascii="Arial Narrow" w:eastAsia="Tahoma" w:hAnsi="Arial Narrow" w:cs="Tahoma"/>
          <w:lang w:val="pl" w:eastAsia="pl-PL"/>
        </w:rPr>
        <w:t>minimis</w:t>
      </w:r>
      <w:proofErr w:type="spellEnd"/>
      <w:r>
        <w:rPr>
          <w:rFonts w:ascii="Arial Narrow" w:eastAsia="Tahoma" w:hAnsi="Arial Narrow" w:cs="Tahoma"/>
          <w:lang w:val="pl" w:eastAsia="pl-PL"/>
        </w:rPr>
        <w:t xml:space="preserve"> (Dz. Urz. UE L 2023/2831 z 15.12.2023).</w:t>
      </w:r>
    </w:p>
    <w:p>
      <w:pPr>
        <w:widowControl w:val="0"/>
        <w:numPr>
          <w:ilvl w:val="0"/>
          <w:numId w:val="2"/>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Pomoc de </w:t>
      </w:r>
      <w:proofErr w:type="spellStart"/>
      <w:r>
        <w:rPr>
          <w:rFonts w:ascii="Arial Narrow" w:eastAsia="Tahoma" w:hAnsi="Arial Narrow" w:cs="Tahoma"/>
          <w:lang w:val="pl" w:eastAsia="pl-PL"/>
        </w:rPr>
        <w:t>minimis</w:t>
      </w:r>
      <w:proofErr w:type="spellEnd"/>
      <w:r>
        <w:rPr>
          <w:rFonts w:ascii="Arial Narrow" w:eastAsia="Tahoma" w:hAnsi="Arial Narrow" w:cs="Tahoma"/>
          <w:lang w:val="pl" w:eastAsia="pl-PL"/>
        </w:rPr>
        <w:t xml:space="preserve"> może być przyznawana przedsiębiorcom we wszystkich sektorach, z wyjątkiem działalności:</w:t>
      </w:r>
    </w:p>
    <w:p>
      <w:pPr>
        <w:widowControl w:val="0"/>
        <w:numPr>
          <w:ilvl w:val="1"/>
          <w:numId w:val="2"/>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w zakresie produkcji podstawowej produktów rybołówstwa i akwakultury;</w:t>
      </w:r>
    </w:p>
    <w:p>
      <w:pPr>
        <w:widowControl w:val="0"/>
        <w:numPr>
          <w:ilvl w:val="1"/>
          <w:numId w:val="2"/>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w sektorze przetwarzania i wprowadzania do obrotów produktów rybołówstwa i akwakultury, gdy kwotę pomocy ustalono na podstawie ceny lub ilości produktów nabytych lub wprowadzanych </w:t>
      </w:r>
      <w:r>
        <w:rPr>
          <w:rFonts w:ascii="Arial Narrow" w:eastAsia="Tahoma" w:hAnsi="Arial Narrow" w:cs="Tahoma"/>
          <w:lang w:val="pl" w:eastAsia="pl-PL"/>
        </w:rPr>
        <w:br/>
        <w:t>do obrotu;</w:t>
      </w:r>
    </w:p>
    <w:p>
      <w:pPr>
        <w:widowControl w:val="0"/>
        <w:numPr>
          <w:ilvl w:val="1"/>
          <w:numId w:val="2"/>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związanych z produkcją podstawową produktów rolnych;</w:t>
      </w:r>
    </w:p>
    <w:p>
      <w:pPr>
        <w:widowControl w:val="0"/>
        <w:numPr>
          <w:ilvl w:val="1"/>
          <w:numId w:val="2"/>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w sektorze przetwarzania i wprowadzania do obrotu produktów rolnych w jednym z następujących przypadków:</w:t>
      </w:r>
    </w:p>
    <w:p>
      <w:pPr>
        <w:widowControl w:val="0"/>
        <w:numPr>
          <w:ilvl w:val="2"/>
          <w:numId w:val="2"/>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kiedy wysokość pomocy ustalana jest na podstawie ceny lub ilości takich produktów nabytych od producentów surowców lub wprowadzonych na rynek przez przedsiębiorstwa objęte pomocą;</w:t>
      </w:r>
    </w:p>
    <w:p>
      <w:pPr>
        <w:widowControl w:val="0"/>
        <w:numPr>
          <w:ilvl w:val="2"/>
          <w:numId w:val="2"/>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lastRenderedPageBreak/>
        <w:t>kiedy przyznanie pomocy uwarunkowane jest przekazaniem jej w części lub w całości producentom surowców;</w:t>
      </w:r>
    </w:p>
    <w:p>
      <w:pPr>
        <w:widowControl w:val="0"/>
        <w:numPr>
          <w:ilvl w:val="1"/>
          <w:numId w:val="2"/>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związanej z wywozem do państw trzecich lub państw członkowskich, tzn. pomocy bezpośrednio związanej z ilością wywożonych produktów, tworzeniem i prowadzeniem sieci dystrybucyjnej lub innymi wydatkami bieżącymi związanymi z prowadzeniem działalności wywozowej;</w:t>
      </w:r>
    </w:p>
    <w:p>
      <w:pPr>
        <w:widowControl w:val="0"/>
        <w:numPr>
          <w:ilvl w:val="1"/>
          <w:numId w:val="2"/>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uwarunkowanej pierwszeństwem korzystania z towarów krajowych w stosunku do towarów sprowadzanych z zagranicy;</w:t>
      </w:r>
    </w:p>
    <w:p>
      <w:pPr>
        <w:widowControl w:val="0"/>
        <w:numPr>
          <w:ilvl w:val="0"/>
          <w:numId w:val="2"/>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W przypadku, gdy przedsiębiorca prowadzi działalność w sektorach, o których mowa w ust. 2 powyżej, a także inną działalność, w odniesieniu do której stosuje się przepisy rozporządzenia Komisji (UE) nr 2023/2831, wówczas może wnioskować o wsparcie na utworzenie i utrzymanie miejsc pracy w ramach działalności, która nie jest objęta wyłączeniem, pod warunkiem, że zapewni rozdzielność rachunkową tych działalności.</w:t>
      </w:r>
    </w:p>
    <w:p>
      <w:pPr>
        <w:widowControl w:val="0"/>
        <w:numPr>
          <w:ilvl w:val="0"/>
          <w:numId w:val="2"/>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Wsparcie finansowe na utworzenie i utrzymanie miejsc pracy nie może być udzielone podmiotowi, który </w:t>
      </w:r>
      <w:r>
        <w:rPr>
          <w:rFonts w:ascii="Arial Narrow" w:eastAsia="Tahoma" w:hAnsi="Arial Narrow" w:cs="Tahoma"/>
          <w:lang w:val="pl" w:eastAsia="pl-PL"/>
        </w:rPr>
        <w:br/>
        <w:t>w okresie ostatnich 3 lat</w:t>
      </w:r>
      <w:r>
        <w:rPr>
          <w:rFonts w:ascii="Arial Narrow" w:eastAsia="Tahoma" w:hAnsi="Arial Narrow" w:cs="Tahoma"/>
          <w:vertAlign w:val="superscript"/>
          <w:lang w:val="pl" w:eastAsia="pl-PL"/>
        </w:rPr>
        <w:footnoteReference w:id="9"/>
      </w:r>
      <w:r>
        <w:rPr>
          <w:rFonts w:ascii="Arial Narrow" w:eastAsia="Tahoma" w:hAnsi="Arial Narrow" w:cs="Tahoma"/>
          <w:lang w:val="pl" w:eastAsia="pl-PL"/>
        </w:rPr>
        <w:t xml:space="preserve">otrzymał pomoc de </w:t>
      </w:r>
      <w:proofErr w:type="spellStart"/>
      <w:r>
        <w:rPr>
          <w:rFonts w:ascii="Arial Narrow" w:eastAsia="Tahoma" w:hAnsi="Arial Narrow" w:cs="Tahoma"/>
          <w:lang w:val="pl" w:eastAsia="pl-PL"/>
        </w:rPr>
        <w:t>minimis</w:t>
      </w:r>
      <w:proofErr w:type="spellEnd"/>
      <w:r>
        <w:rPr>
          <w:rFonts w:ascii="Arial Narrow" w:eastAsia="Tahoma" w:hAnsi="Arial Narrow" w:cs="Tahoma"/>
          <w:lang w:val="pl" w:eastAsia="pl-PL"/>
        </w:rPr>
        <w:t xml:space="preserve"> z różnych źródeł i w różnych formach, której wartość brutto łącznie ze wsparciem finansowym, o które się ubiega, przekracza równowartość w złotych kwoty </w:t>
      </w:r>
      <w:r>
        <w:rPr>
          <w:rFonts w:ascii="Arial Narrow" w:eastAsia="Tahoma" w:hAnsi="Arial Narrow" w:cs="Tahoma"/>
          <w:lang w:val="pl" w:eastAsia="pl-PL"/>
        </w:rPr>
        <w:br/>
        <w:t xml:space="preserve">300.000,00 euro. Wartość otrzymanej pomocy de </w:t>
      </w:r>
      <w:proofErr w:type="spellStart"/>
      <w:r>
        <w:rPr>
          <w:rFonts w:ascii="Arial Narrow" w:eastAsia="Tahoma" w:hAnsi="Arial Narrow" w:cs="Tahoma"/>
          <w:lang w:val="pl" w:eastAsia="pl-PL"/>
        </w:rPr>
        <w:t>minimis</w:t>
      </w:r>
      <w:proofErr w:type="spellEnd"/>
      <w:r>
        <w:rPr>
          <w:rFonts w:ascii="Arial Narrow" w:eastAsia="Tahoma" w:hAnsi="Arial Narrow" w:cs="Tahoma"/>
          <w:lang w:val="pl" w:eastAsia="pl-PL"/>
        </w:rPr>
        <w:t xml:space="preserve"> weryfikowana jest na dzień złożenia wniosku </w:t>
      </w:r>
      <w:r>
        <w:rPr>
          <w:rFonts w:ascii="Arial Narrow" w:eastAsia="Tahoma" w:hAnsi="Arial Narrow" w:cs="Tahoma"/>
          <w:lang w:val="pl" w:eastAsia="pl-PL"/>
        </w:rPr>
        <w:br/>
        <w:t>o wsparcie finansowe na utworzenie i utrzymanie miejsc pracy.</w:t>
      </w:r>
    </w:p>
    <w:p>
      <w:pPr>
        <w:widowControl w:val="0"/>
        <w:numPr>
          <w:ilvl w:val="0"/>
          <w:numId w:val="2"/>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Operator na etapie oceny formalnej wniosku o przyznanie wsparcia bada, czy nie zachodzi jedna albo więcej przesłanek wymienionych w ustępie 2 i 4. Występowanie </w:t>
      </w:r>
      <w:proofErr w:type="spellStart"/>
      <w:r>
        <w:rPr>
          <w:rFonts w:ascii="Arial Narrow" w:eastAsia="Tahoma" w:hAnsi="Arial Narrow" w:cs="Tahoma"/>
          <w:lang w:val="pl" w:eastAsia="pl-PL"/>
        </w:rPr>
        <w:t>wykluczeń</w:t>
      </w:r>
      <w:proofErr w:type="spellEnd"/>
      <w:r>
        <w:rPr>
          <w:rFonts w:ascii="Arial Narrow" w:eastAsia="Tahoma" w:hAnsi="Arial Narrow" w:cs="Tahoma"/>
          <w:lang w:val="pl" w:eastAsia="pl-PL"/>
        </w:rPr>
        <w:t xml:space="preserve"> z możliwości uzyskania pomocy de </w:t>
      </w:r>
      <w:proofErr w:type="spellStart"/>
      <w:r>
        <w:rPr>
          <w:rFonts w:ascii="Arial Narrow" w:eastAsia="Tahoma" w:hAnsi="Arial Narrow" w:cs="Tahoma"/>
          <w:lang w:val="pl" w:eastAsia="pl-PL"/>
        </w:rPr>
        <w:t>minimis</w:t>
      </w:r>
      <w:proofErr w:type="spellEnd"/>
      <w:r>
        <w:rPr>
          <w:rFonts w:ascii="Arial Narrow" w:eastAsia="Tahoma" w:hAnsi="Arial Narrow" w:cs="Tahoma"/>
          <w:lang w:val="pl" w:eastAsia="pl-PL"/>
        </w:rPr>
        <w:t xml:space="preserve"> może być też stwierdzone przez Komisję Oceny Wniosków na etapie oceny merytorycznej wniosku. W takim przypadku podmiot ubiegający się o wsparcie nie może otrzymać dofinansowania.</w:t>
      </w:r>
    </w:p>
    <w:p>
      <w:pPr>
        <w:widowControl w:val="0"/>
        <w:numPr>
          <w:ilvl w:val="0"/>
          <w:numId w:val="2"/>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Istniejące PS oraz PES przekształcany w PS na etapie ubiegania się o przyznanie wsparcia na utworzenie </w:t>
      </w:r>
      <w:r>
        <w:rPr>
          <w:rFonts w:ascii="Arial Narrow" w:eastAsia="Tahoma" w:hAnsi="Arial Narrow" w:cs="Tahoma"/>
          <w:lang w:val="pl" w:eastAsia="pl-PL"/>
        </w:rPr>
        <w:br/>
        <w:t xml:space="preserve">i utrzymanie miejsc pracy jest zobowiązany do przedstawienia Operatorowi wsparcia wraz z wnioskiem </w:t>
      </w:r>
      <w:r>
        <w:rPr>
          <w:rFonts w:ascii="Arial Narrow" w:eastAsia="Tahoma" w:hAnsi="Arial Narrow" w:cs="Tahoma"/>
          <w:lang w:val="pl" w:eastAsia="pl-PL"/>
        </w:rPr>
        <w:br/>
        <w:t>o przyznanie wsparcia finansowego:</w:t>
      </w:r>
    </w:p>
    <w:p>
      <w:pPr>
        <w:widowControl w:val="0"/>
        <w:numPr>
          <w:ilvl w:val="1"/>
          <w:numId w:val="2"/>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oświadczenia o wielkości pomocy de </w:t>
      </w:r>
      <w:proofErr w:type="spellStart"/>
      <w:r>
        <w:rPr>
          <w:rFonts w:ascii="Arial Narrow" w:eastAsia="Tahoma" w:hAnsi="Arial Narrow" w:cs="Tahoma"/>
          <w:lang w:val="pl" w:eastAsia="pl-PL"/>
        </w:rPr>
        <w:t>minimis</w:t>
      </w:r>
      <w:proofErr w:type="spellEnd"/>
      <w:r>
        <w:rPr>
          <w:rFonts w:ascii="Arial Narrow" w:eastAsia="Tahoma" w:hAnsi="Arial Narrow" w:cs="Tahoma"/>
          <w:lang w:val="pl" w:eastAsia="pl-PL"/>
        </w:rPr>
        <w:t xml:space="preserve"> otrzymanej w ostatnich 3 latach albo oświadczenia </w:t>
      </w:r>
      <w:r>
        <w:rPr>
          <w:rFonts w:ascii="Arial Narrow" w:eastAsia="Tahoma" w:hAnsi="Arial Narrow" w:cs="Tahoma"/>
          <w:lang w:val="pl" w:eastAsia="pl-PL"/>
        </w:rPr>
        <w:br/>
        <w:t>o nieotrzymaniu takiej pomocy w tym okresie,</w:t>
      </w:r>
    </w:p>
    <w:p>
      <w:pPr>
        <w:widowControl w:val="0"/>
        <w:numPr>
          <w:ilvl w:val="1"/>
          <w:numId w:val="2"/>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informacji niezbędnych do udzielenia pomocy de </w:t>
      </w:r>
      <w:proofErr w:type="spellStart"/>
      <w:r>
        <w:rPr>
          <w:rFonts w:ascii="Arial Narrow" w:eastAsia="Tahoma" w:hAnsi="Arial Narrow" w:cs="Tahoma"/>
          <w:lang w:val="pl" w:eastAsia="pl-PL"/>
        </w:rPr>
        <w:t>minimis</w:t>
      </w:r>
      <w:proofErr w:type="spellEnd"/>
      <w:r>
        <w:rPr>
          <w:rFonts w:ascii="Arial Narrow" w:eastAsia="Tahoma" w:hAnsi="Arial Narrow" w:cs="Tahoma"/>
          <w:lang w:val="pl" w:eastAsia="pl-PL"/>
        </w:rPr>
        <w:t xml:space="preserve">, dotyczących w szczególności Wnioskodawcy i prowadzonej przez niego działalności gospodarczej oraz wielkości i przeznaczenia pomocy de </w:t>
      </w:r>
      <w:proofErr w:type="spellStart"/>
      <w:r>
        <w:rPr>
          <w:rFonts w:ascii="Arial Narrow" w:eastAsia="Tahoma" w:hAnsi="Arial Narrow" w:cs="Tahoma"/>
          <w:lang w:val="pl" w:eastAsia="pl-PL"/>
        </w:rPr>
        <w:t>minimis</w:t>
      </w:r>
      <w:proofErr w:type="spellEnd"/>
      <w:r>
        <w:rPr>
          <w:rFonts w:ascii="Arial Narrow" w:eastAsia="Tahoma" w:hAnsi="Arial Narrow" w:cs="Tahoma"/>
          <w:lang w:val="pl" w:eastAsia="pl-PL"/>
        </w:rPr>
        <w:t xml:space="preserve"> otrzymanej w odniesieniu do tych samych kosztów kwalifikujących się do objęcia pomocą, na pokrycie których ma być przeznaczona pomoc de </w:t>
      </w:r>
      <w:proofErr w:type="spellStart"/>
      <w:r>
        <w:rPr>
          <w:rFonts w:ascii="Arial Narrow" w:eastAsia="Tahoma" w:hAnsi="Arial Narrow" w:cs="Tahoma"/>
          <w:lang w:val="pl" w:eastAsia="pl-PL"/>
        </w:rPr>
        <w:t>minimis</w:t>
      </w:r>
      <w:proofErr w:type="spellEnd"/>
      <w:r>
        <w:rPr>
          <w:rFonts w:ascii="Arial Narrow" w:eastAsia="Tahoma" w:hAnsi="Arial Narrow" w:cs="Tahoma"/>
          <w:lang w:val="pl" w:eastAsia="pl-PL"/>
        </w:rPr>
        <w:t>.</w:t>
      </w:r>
    </w:p>
    <w:p>
      <w:pPr>
        <w:widowControl w:val="0"/>
        <w:numPr>
          <w:ilvl w:val="0"/>
          <w:numId w:val="2"/>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Do wielkości pomocy de </w:t>
      </w:r>
      <w:proofErr w:type="spellStart"/>
      <w:r>
        <w:rPr>
          <w:rFonts w:ascii="Arial Narrow" w:eastAsia="Tahoma" w:hAnsi="Arial Narrow" w:cs="Tahoma"/>
          <w:lang w:val="pl" w:eastAsia="pl-PL"/>
        </w:rPr>
        <w:t>minimis</w:t>
      </w:r>
      <w:proofErr w:type="spellEnd"/>
      <w:r>
        <w:rPr>
          <w:rFonts w:ascii="Arial Narrow" w:eastAsia="Tahoma" w:hAnsi="Arial Narrow" w:cs="Tahoma"/>
          <w:lang w:val="pl" w:eastAsia="pl-PL"/>
        </w:rPr>
        <w:t xml:space="preserve"> otrzymanej przez PS lub PES przekształcany w PS wlicza się również wartość pomocy de </w:t>
      </w:r>
      <w:proofErr w:type="spellStart"/>
      <w:r>
        <w:rPr>
          <w:rFonts w:ascii="Arial Narrow" w:eastAsia="Tahoma" w:hAnsi="Arial Narrow" w:cs="Tahoma"/>
          <w:lang w:val="pl" w:eastAsia="pl-PL"/>
        </w:rPr>
        <w:t>minimis</w:t>
      </w:r>
      <w:proofErr w:type="spellEnd"/>
      <w:r>
        <w:rPr>
          <w:rFonts w:ascii="Arial Narrow" w:eastAsia="Tahoma" w:hAnsi="Arial Narrow" w:cs="Tahoma"/>
          <w:lang w:val="pl" w:eastAsia="pl-PL"/>
        </w:rPr>
        <w:t xml:space="preserve"> otrzymanej przez inne podmioty, z którymi PS/PES przekształcany w PS powiązany jest osobowo lub kapitałowo. </w:t>
      </w:r>
    </w:p>
    <w:p>
      <w:pPr>
        <w:widowControl w:val="0"/>
        <w:numPr>
          <w:ilvl w:val="0"/>
          <w:numId w:val="2"/>
        </w:numPr>
        <w:tabs>
          <w:tab w:val="left" w:pos="750"/>
        </w:tabs>
        <w:spacing w:after="240" w:line="360" w:lineRule="auto"/>
        <w:ind w:right="-40"/>
        <w:jc w:val="both"/>
        <w:rPr>
          <w:rFonts w:ascii="Arial Narrow" w:eastAsia="Tahoma" w:hAnsi="Arial Narrow" w:cs="Tahoma"/>
          <w:lang w:val="pl" w:eastAsia="pl-PL"/>
        </w:rPr>
      </w:pPr>
      <w:r>
        <w:rPr>
          <w:rFonts w:ascii="Arial Narrow" w:eastAsia="Tahoma" w:hAnsi="Arial Narrow" w:cs="Tahoma"/>
          <w:lang w:val="pl" w:eastAsia="pl-PL"/>
        </w:rPr>
        <w:lastRenderedPageBreak/>
        <w:t xml:space="preserve">Podmiot, którego wniosek o wsparcie zostanie wyłoniony do dofinansowania, będzie zobligowany </w:t>
      </w:r>
      <w:r>
        <w:rPr>
          <w:rFonts w:ascii="Arial Narrow" w:eastAsia="Tahoma" w:hAnsi="Arial Narrow" w:cs="Tahoma"/>
          <w:lang w:val="pl" w:eastAsia="pl-PL"/>
        </w:rPr>
        <w:br/>
        <w:t>do przedłożenia dokumentów, o których mowa w ustępie 6, również przed podpisaniem umowy o udzielenie wsparcia na utworzenie i utrzymanie miejsc pracy.</w:t>
      </w:r>
    </w:p>
    <w:p>
      <w:pPr>
        <w:spacing w:after="0" w:line="276" w:lineRule="auto"/>
        <w:jc w:val="center"/>
        <w:rPr>
          <w:rFonts w:ascii="Arial Narrow" w:eastAsia="Arial" w:hAnsi="Arial Narrow" w:cs="Arial"/>
          <w:b/>
          <w:lang w:val="pl" w:eastAsia="pl-PL"/>
        </w:rPr>
      </w:pPr>
      <w:r>
        <w:rPr>
          <w:rFonts w:ascii="Arial Narrow" w:eastAsia="Arial" w:hAnsi="Arial Narrow" w:cs="Arial"/>
          <w:b/>
          <w:lang w:val="pl" w:eastAsia="pl-PL"/>
        </w:rPr>
        <w:t>§ 4</w:t>
      </w:r>
    </w:p>
    <w:p>
      <w:pPr>
        <w:keepNext/>
        <w:keepLines/>
        <w:spacing w:after="120" w:line="276" w:lineRule="auto"/>
        <w:jc w:val="center"/>
        <w:outlineLvl w:val="0"/>
        <w:rPr>
          <w:rFonts w:ascii="Arial Narrow" w:eastAsia="Arial" w:hAnsi="Arial Narrow" w:cs="Arial"/>
          <w:b/>
          <w:lang w:val="pl" w:eastAsia="pl-PL"/>
        </w:rPr>
      </w:pPr>
      <w:bookmarkStart w:id="9" w:name="_3znysh7" w:colFirst="0" w:colLast="0"/>
      <w:bookmarkStart w:id="10" w:name="_Toc175735242"/>
      <w:bookmarkEnd w:id="9"/>
      <w:r>
        <w:rPr>
          <w:rFonts w:ascii="Arial Narrow" w:eastAsia="Arial" w:hAnsi="Arial Narrow" w:cs="Arial"/>
          <w:b/>
          <w:lang w:val="pl" w:eastAsia="pl-PL"/>
        </w:rPr>
        <w:t>Zasady ubiegania się o wsparcie na utworzenie i utrzymanie miejsca pracy w PS/PES</w:t>
      </w:r>
      <w:bookmarkEnd w:id="10"/>
    </w:p>
    <w:p>
      <w:pPr>
        <w:numPr>
          <w:ilvl w:val="0"/>
          <w:numId w:val="24"/>
        </w:numPr>
        <w:shd w:val="clear" w:color="auto" w:fill="FFFFFF"/>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Przyznawanie wsparcia na utworzenie i utrzymanie miejsc pracy w PS/PES odbywa się według rund konkursowych określonych w harmonogramie dostępnym na stronie internetowej projektu. </w:t>
      </w:r>
    </w:p>
    <w:p>
      <w:pPr>
        <w:numPr>
          <w:ilvl w:val="0"/>
          <w:numId w:val="24"/>
        </w:numPr>
        <w:shd w:val="clear" w:color="auto" w:fill="FFFFFF"/>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Operator informuje uczestników projektu o terminie, w którym mogą oni składać wnioski o udzielenie wsparcia finansowego na utworzenie i utrzymanie miejsc pracy, poprzez zamieszczenie informacji na stronie internetowej projektu oraz w miejscu publicznie dostępnym w swojej siedzibie. </w:t>
      </w:r>
    </w:p>
    <w:p>
      <w:pPr>
        <w:numPr>
          <w:ilvl w:val="0"/>
          <w:numId w:val="24"/>
        </w:numPr>
        <w:shd w:val="clear" w:color="auto" w:fill="FFFFFF"/>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Ogłoszenie, o którym mowa w ust. 2 zawiera m.in. termin rozpoczęcia i zakończenia naboru, który nie może być krótszy niż 10 dni roboczych (liczonych od dnia następnego po dniu zamieszczenia ogłoszenia na stronie internetowej projektu), miejsce przyjmowania dokumentów, formy składania wniosków oraz listę wymaganych dokumentów.</w:t>
      </w:r>
    </w:p>
    <w:p>
      <w:pPr>
        <w:numPr>
          <w:ilvl w:val="0"/>
          <w:numId w:val="24"/>
        </w:numPr>
        <w:shd w:val="clear" w:color="auto" w:fill="FFFFFF"/>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Do złożenia wniosku o przyznanie wsparcia uprawnieni są jedynie Wnioskodawcy, którzy ukończyli wymaganą ścieżkę szkoleniowo-doradczą, przygotowującą do udziału w FPS oraz otrzymali pozytywną opinię pracownika OWES, prowadzącego grupę. Ścieżka szkoleniowo-doradcza określana jest indywidualnie przez każdy OWES w odrębnym regulaminie.</w:t>
      </w:r>
    </w:p>
    <w:p>
      <w:pPr>
        <w:numPr>
          <w:ilvl w:val="0"/>
          <w:numId w:val="24"/>
        </w:numPr>
        <w:shd w:val="clear" w:color="auto" w:fill="FFFFFF"/>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Przed złożeniem wniosku, oprócz wymaganej ścieżki szkoleniowo-doradczej, Wnioskodawcy mogą korzystać również z dodatkowego wsparcia oferowanego przez OWES (np. w przygotowaniu wniosków, w tym m.in. </w:t>
      </w:r>
      <w:r>
        <w:rPr>
          <w:rFonts w:ascii="Arial Narrow" w:eastAsia="Tahoma" w:hAnsi="Arial Narrow" w:cs="Tahoma"/>
          <w:lang w:val="pl" w:eastAsia="pl-PL"/>
        </w:rPr>
        <w:br/>
        <w:t>z doradztwa specjalistycznego).</w:t>
      </w:r>
    </w:p>
    <w:p>
      <w:pPr>
        <w:numPr>
          <w:ilvl w:val="0"/>
          <w:numId w:val="24"/>
        </w:numPr>
        <w:shd w:val="clear" w:color="auto" w:fill="FFFFFF"/>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Do wniosku należy załączyć dokumenty zgodne z wzorami podanymi przez Operatora oraz inne wymagane dokumenty, których lista zostanie opublikowana w ogłoszeniu o naborze na stronie internetowej projektu.</w:t>
      </w:r>
    </w:p>
    <w:p>
      <w:pPr>
        <w:numPr>
          <w:ilvl w:val="0"/>
          <w:numId w:val="24"/>
        </w:numPr>
        <w:shd w:val="clear" w:color="auto" w:fill="FFFFFF"/>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Komunikacja może odbywać się w formie pisemnej, dokumentowej lub elektronicznej w rozumieniu Kodeksu cywilnego, przy czym preferowaną formą kontaktu jest komunikacja poprzez e-mail. Forma pisemna pod rygorem nieważności jest wymagana w przypadkach określonych w Regulaminie, ogłoszeniu konkursowym lub Umowie.</w:t>
      </w:r>
    </w:p>
    <w:p>
      <w:pPr>
        <w:numPr>
          <w:ilvl w:val="0"/>
          <w:numId w:val="24"/>
        </w:numPr>
        <w:shd w:val="clear" w:color="auto" w:fill="FFFFFF"/>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Bieżące, robocze kontakty pomiędzy Wnioskodawcą/Odbiorcą wsparcia a Operatorem mogą odbywać się </w:t>
      </w:r>
      <w:r>
        <w:rPr>
          <w:rFonts w:ascii="Arial Narrow" w:eastAsia="Tahoma" w:hAnsi="Arial Narrow" w:cs="Tahoma"/>
          <w:lang w:val="pl" w:eastAsia="pl-PL"/>
        </w:rPr>
        <w:br/>
        <w:t xml:space="preserve">z wykorzystaniem innych narzędzi komunikacji, w tym za pomocą telefonu, komunikatorów internetowych </w:t>
      </w:r>
      <w:r>
        <w:rPr>
          <w:rFonts w:ascii="Arial Narrow" w:eastAsia="Tahoma" w:hAnsi="Arial Narrow" w:cs="Tahoma"/>
          <w:lang w:val="pl" w:eastAsia="pl-PL"/>
        </w:rPr>
        <w:br/>
        <w:t>i innych narzędzi do porozumiewania się na odległość.</w:t>
      </w:r>
    </w:p>
    <w:p>
      <w:pPr>
        <w:numPr>
          <w:ilvl w:val="0"/>
          <w:numId w:val="24"/>
        </w:numPr>
        <w:shd w:val="clear" w:color="auto" w:fill="FFFFFF"/>
        <w:spacing w:after="0" w:line="360" w:lineRule="auto"/>
        <w:ind w:right="-40"/>
        <w:jc w:val="both"/>
        <w:rPr>
          <w:rFonts w:ascii="Arial Narrow" w:eastAsia="Tahoma" w:hAnsi="Arial Narrow" w:cs="Tahoma"/>
          <w:lang w:val="pl" w:eastAsia="pl-PL"/>
        </w:rPr>
      </w:pPr>
      <w:r>
        <w:rPr>
          <w:rFonts w:ascii="Arial Narrow" w:eastAsia="Tahoma" w:hAnsi="Arial Narrow" w:cs="Tahoma"/>
          <w:color w:val="000000"/>
          <w:lang w:val="pl" w:eastAsia="pl-PL"/>
        </w:rPr>
        <w:t xml:space="preserve">Wnioskodawca wyznacza w biznesplanie osobę odpowiedzialną za kontakt z Operatorem w sprawach związanych z udzielaniem wsparcia finansowego, do której będzie kierowana korespondencja związana </w:t>
      </w:r>
      <w:r>
        <w:rPr>
          <w:rFonts w:ascii="Arial Narrow" w:eastAsia="Tahoma" w:hAnsi="Arial Narrow" w:cs="Tahoma"/>
          <w:color w:val="000000"/>
          <w:lang w:val="pl" w:eastAsia="pl-PL"/>
        </w:rPr>
        <w:br/>
        <w:t xml:space="preserve">z procesem udzielania wsparcia finansowego. Ewentualna zmiana osoby odpowiedzialnej za kontakt </w:t>
      </w:r>
      <w:r>
        <w:rPr>
          <w:rFonts w:ascii="Arial Narrow" w:eastAsia="Tahoma" w:hAnsi="Arial Narrow" w:cs="Tahoma"/>
          <w:color w:val="000000"/>
          <w:lang w:val="pl" w:eastAsia="pl-PL"/>
        </w:rPr>
        <w:br/>
      </w:r>
      <w:r>
        <w:rPr>
          <w:rFonts w:ascii="Arial Narrow" w:eastAsia="Tahoma" w:hAnsi="Arial Narrow" w:cs="Tahoma"/>
          <w:color w:val="000000"/>
          <w:lang w:val="pl" w:eastAsia="pl-PL"/>
        </w:rPr>
        <w:lastRenderedPageBreak/>
        <w:t>z Operatorem następuje w drodze e-mailowej lub w formie pisemnej poprzez przesłanie stosownej informacji na adres do korespondencji wskazany przez Operatora lub złożenie wersji papierowej w biurze Operatora za potwierdzeniem.</w:t>
      </w:r>
    </w:p>
    <w:p>
      <w:pPr>
        <w:numPr>
          <w:ilvl w:val="0"/>
          <w:numId w:val="24"/>
        </w:numPr>
        <w:shd w:val="clear" w:color="auto" w:fill="FFFFFF"/>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Wniosek zawierający komplet dokumentów należy złożyć w jednym egzemplarzu w formie i w sposób wskazany przez Operatora w ogłoszeniu o naborze.</w:t>
      </w:r>
    </w:p>
    <w:p>
      <w:pPr>
        <w:numPr>
          <w:ilvl w:val="0"/>
          <w:numId w:val="24"/>
        </w:numPr>
        <w:shd w:val="clear" w:color="auto" w:fill="FFFFFF"/>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Wnioski, które wpłyną do Operatora po terminie wskazanym w ogłoszeniu o naborze, pozostawia się bez rozpatrzenia (wnioski te nie podlegają ocenie formalnej).</w:t>
      </w:r>
    </w:p>
    <w:p>
      <w:pPr>
        <w:numPr>
          <w:ilvl w:val="0"/>
          <w:numId w:val="24"/>
        </w:numPr>
        <w:shd w:val="clear" w:color="auto" w:fill="FFFFFF"/>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Wzory wniosków o udzielenie wsparcia finansowego na utworzenie i utrzymanie miejsc pracy w istniejącym PS oraz PES przekształcanym w PS stanowią załączniki nr 1a oraz 2a do Regulaminu, a w nowopowstającym PS załączniki nr 1b oraz 2b do Regulaminu.</w:t>
      </w:r>
    </w:p>
    <w:p>
      <w:pPr>
        <w:numPr>
          <w:ilvl w:val="0"/>
          <w:numId w:val="24"/>
        </w:numPr>
        <w:shd w:val="clear" w:color="auto" w:fill="FFFFFF"/>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Złożony wniosek wraz z pozostałymi wymaganymi dokumentami nie podlega zwrotowi. </w:t>
      </w:r>
    </w:p>
    <w:p>
      <w:pPr>
        <w:numPr>
          <w:ilvl w:val="0"/>
          <w:numId w:val="24"/>
        </w:numPr>
        <w:shd w:val="clear" w:color="auto" w:fill="FFFFFF"/>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Złożenie wniosku nie oznacza przyznania wsparcia na utworzenie i utrzymanie miejsca pracy w PS.</w:t>
      </w:r>
    </w:p>
    <w:p>
      <w:pPr>
        <w:numPr>
          <w:ilvl w:val="0"/>
          <w:numId w:val="24"/>
        </w:numPr>
        <w:shd w:val="clear" w:color="auto" w:fill="FFFFFF"/>
        <w:spacing w:after="24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Każdy z Wnioskodawców jest uprawniony do złożenia jednego wniosku o udzielenie wsparcia finansowego </w:t>
      </w:r>
      <w:r>
        <w:rPr>
          <w:rFonts w:ascii="Arial Narrow" w:eastAsia="Tahoma" w:hAnsi="Arial Narrow" w:cs="Tahoma"/>
          <w:lang w:val="pl" w:eastAsia="pl-PL"/>
        </w:rPr>
        <w:br/>
        <w:t>w ramach danego naboru wniosków. W sytuacji złożenia dwóch lub więcej wniosków o udzielenie wsparcia finansowego, ocenie formalnej będzie podlegał wniosek, który wpłynął do Operatora jako pierwszy.</w:t>
      </w:r>
    </w:p>
    <w:p>
      <w:pPr>
        <w:spacing w:after="0" w:line="276" w:lineRule="auto"/>
        <w:jc w:val="center"/>
        <w:rPr>
          <w:rFonts w:ascii="Arial Narrow" w:eastAsia="Arial" w:hAnsi="Arial Narrow" w:cs="Arial"/>
          <w:b/>
          <w:lang w:val="pl" w:eastAsia="pl-PL"/>
        </w:rPr>
      </w:pPr>
      <w:r>
        <w:rPr>
          <w:rFonts w:ascii="Arial Narrow" w:eastAsia="Arial" w:hAnsi="Arial Narrow" w:cs="Arial"/>
          <w:b/>
          <w:lang w:val="pl" w:eastAsia="pl-PL"/>
        </w:rPr>
        <w:t>§ 5</w:t>
      </w:r>
    </w:p>
    <w:p>
      <w:pPr>
        <w:keepNext/>
        <w:keepLines/>
        <w:spacing w:after="120" w:line="276" w:lineRule="auto"/>
        <w:jc w:val="center"/>
        <w:outlineLvl w:val="0"/>
        <w:rPr>
          <w:rFonts w:ascii="Arial Narrow" w:eastAsia="Arial" w:hAnsi="Arial Narrow" w:cs="Arial"/>
          <w:b/>
          <w:lang w:val="pl" w:eastAsia="pl-PL"/>
        </w:rPr>
      </w:pPr>
      <w:bookmarkStart w:id="11" w:name="_2et92p0" w:colFirst="0" w:colLast="0"/>
      <w:bookmarkStart w:id="12" w:name="_Toc175735243"/>
      <w:bookmarkEnd w:id="11"/>
      <w:r>
        <w:rPr>
          <w:rFonts w:ascii="Arial Narrow" w:eastAsia="Arial" w:hAnsi="Arial Narrow" w:cs="Arial"/>
          <w:b/>
          <w:lang w:val="pl" w:eastAsia="pl-PL"/>
        </w:rPr>
        <w:t>Ocena wniosków o przyznanie wsparcia na utworzenie i utrzymanie miejsca pracy</w:t>
      </w:r>
      <w:bookmarkEnd w:id="12"/>
    </w:p>
    <w:p>
      <w:pPr>
        <w:numPr>
          <w:ilvl w:val="0"/>
          <w:numId w:val="14"/>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W ciągu 10 dni roboczych od dnia zakończenia naboru wniosków Operator dokonuje oceny formalnej złożonych dokumentów, a następnie informuje Wnioskodawców za pośrednictwem adresu e-mail wskazanego </w:t>
      </w:r>
      <w:r>
        <w:rPr>
          <w:rFonts w:ascii="Arial Narrow" w:eastAsia="Tahoma" w:hAnsi="Arial Narrow" w:cs="Tahoma"/>
          <w:lang w:val="pl" w:eastAsia="pl-PL"/>
        </w:rPr>
        <w:br/>
        <w:t xml:space="preserve">we wniosku o wynikach oceny formalnej lub konieczności uzupełnienia/poprawy dokumentów. </w:t>
      </w:r>
    </w:p>
    <w:p>
      <w:pPr>
        <w:numPr>
          <w:ilvl w:val="0"/>
          <w:numId w:val="14"/>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Wnioskodawca, w terminie 3 dni roboczych od dnia otrzymania informacji o konieczności dokonania uzupełnienia/poprawy dokumentów, ma jednokrotną możliwość uzupełnienia braków/poprawy błędów przed przekazaniem wniosku do oceny merytorycznej dokonywanej przez Komisję Oceny Wniosków (dalej KOW).</w:t>
      </w:r>
    </w:p>
    <w:p>
      <w:pPr>
        <w:numPr>
          <w:ilvl w:val="0"/>
          <w:numId w:val="14"/>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Wnioski nieuzupełnione w terminie lub niekompletne nie zostaną przekazane do oceny merytorycznej dokonywanej przez KOW, w związku z tym wniosek na tym etapie zostaje odrzucony. </w:t>
      </w:r>
    </w:p>
    <w:p>
      <w:pPr>
        <w:numPr>
          <w:ilvl w:val="0"/>
          <w:numId w:val="14"/>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Wnioski poprawne pod względem formalnym przekazywane są do oceny merytorycznej, która trwa nie dłużej niż 10 dni roboczych licząc od daty zakończenia wcześniejszego etapu konkursu. Ocena merytoryczna wniosku dokonywana jest przez KOW powołaną przez Operatora.</w:t>
      </w:r>
    </w:p>
    <w:p>
      <w:pPr>
        <w:numPr>
          <w:ilvl w:val="0"/>
          <w:numId w:val="14"/>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KOW składa się z minimum 3 osób, tj.: Przewodniczącego KOW oraz 2 członków. W skład KOW mogą być powołani pracownicy Operatora lub inne osoby wskazane przez Operatora. Osoby powołane do pracy w KOW powinny posiadać kwalifikacje umożliwiające właściwą ocenę wniosków o udzielenie wsparcia na utworzenie</w:t>
      </w:r>
      <w:r>
        <w:rPr>
          <w:rFonts w:ascii="Arial Narrow" w:eastAsia="Tahoma" w:hAnsi="Arial Narrow" w:cs="Tahoma"/>
          <w:lang w:val="pl" w:eastAsia="pl-PL"/>
        </w:rPr>
        <w:br/>
        <w:t xml:space="preserve"> i utrzymanie miejsca pracy.</w:t>
      </w:r>
    </w:p>
    <w:p>
      <w:pPr>
        <w:numPr>
          <w:ilvl w:val="0"/>
          <w:numId w:val="14"/>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lastRenderedPageBreak/>
        <w:t>W celu zapewnienia obiektywnej i rzetelnej procedury oceny wniosków w posiedzeniu KOW fakultatywnie może brać udział również przedstawiciel Regionalnego Ośrodka Polityki Społecznej/IZ. Występuje on w roli obserwatora z prawem wglądu w dokumenty oraz reagowania i ewentualnej interwencji w przypadku stwierdzenia naruszenia procedur oceny wniosku.</w:t>
      </w:r>
    </w:p>
    <w:p>
      <w:pPr>
        <w:numPr>
          <w:ilvl w:val="0"/>
          <w:numId w:val="14"/>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W posiedzeniu KOW fakultatywnie mogą brać udział pracownicy OWES prowadzący grupę, tj. odpowiadający za przygotowanie Wnioskodawcy do udziału w konkursie o przyznanie wsparcia na utworzenie i utrzymanie miejsc pracy. Występują oni w roli obserwatora bez prawa głosu. </w:t>
      </w:r>
    </w:p>
    <w:p>
      <w:pPr>
        <w:numPr>
          <w:ilvl w:val="0"/>
          <w:numId w:val="14"/>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KOW pracuje zgodnie z harmonogramem opracowanym przez Operatora. </w:t>
      </w:r>
    </w:p>
    <w:p>
      <w:pPr>
        <w:numPr>
          <w:ilvl w:val="0"/>
          <w:numId w:val="14"/>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Operator ma obowiązek powiadomienia ROPS/IZ o planowanym terminie posiedzenia KOW na co najmniej </w:t>
      </w:r>
      <w:r>
        <w:rPr>
          <w:rFonts w:ascii="Arial Narrow" w:eastAsia="Tahoma" w:hAnsi="Arial Narrow" w:cs="Tahoma"/>
          <w:lang w:val="pl" w:eastAsia="pl-PL"/>
        </w:rPr>
        <w:br/>
        <w:t>5 dni roboczych przed jej zwołaniem.</w:t>
      </w:r>
    </w:p>
    <w:p>
      <w:pPr>
        <w:numPr>
          <w:ilvl w:val="0"/>
          <w:numId w:val="14"/>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Przewodniczącym KOW jest osoba wyznaczona przez Operatora do kierowania pracą KOW. Przewodniczący KOW może wyznaczyć spośród członków KOW swojego Zastępcę. Wyznaczenie Zastępcy następuje w formie pisemnego upoważnienia. Przewodniczący/Zastępca Przewodniczącego KOW jest odpowiedzialny </w:t>
      </w:r>
      <w:r>
        <w:rPr>
          <w:rFonts w:ascii="Arial Narrow" w:eastAsia="Tahoma" w:hAnsi="Arial Narrow" w:cs="Tahoma"/>
          <w:lang w:val="pl" w:eastAsia="pl-PL"/>
        </w:rPr>
        <w:br/>
        <w:t>za zapewnienie bezstronności i przejrzystości prac KOW.</w:t>
      </w:r>
    </w:p>
    <w:p>
      <w:pPr>
        <w:numPr>
          <w:ilvl w:val="0"/>
          <w:numId w:val="14"/>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KOW jest odpowiedzialna za przeprowadzenie oceny merytorycznej złożonych wniosków o udzielenie wsparcia finansowego na utworzenie i utrzymanie miejsc pracy w PS/PES poprzez:</w:t>
      </w:r>
    </w:p>
    <w:p>
      <w:pPr>
        <w:numPr>
          <w:ilvl w:val="0"/>
          <w:numId w:val="32"/>
        </w:numPr>
        <w:pBdr>
          <w:top w:val="nil"/>
          <w:left w:val="nil"/>
          <w:bottom w:val="nil"/>
          <w:right w:val="nil"/>
          <w:between w:val="nil"/>
        </w:pBdr>
        <w:spacing w:after="0" w:line="360" w:lineRule="auto"/>
        <w:ind w:right="-40"/>
        <w:jc w:val="both"/>
        <w:rPr>
          <w:rFonts w:ascii="Arial Narrow" w:eastAsia="Tahoma" w:hAnsi="Arial Narrow" w:cs="Tahoma"/>
          <w:color w:val="000000"/>
          <w:lang w:val="pl" w:eastAsia="pl-PL"/>
        </w:rPr>
      </w:pPr>
      <w:r>
        <w:rPr>
          <w:rFonts w:ascii="Arial Narrow" w:eastAsia="Tahoma" w:hAnsi="Arial Narrow" w:cs="Tahoma"/>
          <w:color w:val="000000"/>
          <w:lang w:val="pl" w:eastAsia="pl-PL"/>
        </w:rPr>
        <w:t xml:space="preserve">weryfikację i ocenę </w:t>
      </w:r>
      <w:r>
        <w:rPr>
          <w:rFonts w:ascii="Arial Narrow" w:eastAsia="Tahoma" w:hAnsi="Arial Narrow" w:cs="Tahoma"/>
          <w:lang w:val="pl" w:eastAsia="pl-PL"/>
        </w:rPr>
        <w:t xml:space="preserve">wniosków, </w:t>
      </w:r>
      <w:r>
        <w:rPr>
          <w:rFonts w:ascii="Arial Narrow" w:eastAsia="Tahoma" w:hAnsi="Arial Narrow" w:cs="Tahoma"/>
          <w:color w:val="000000"/>
          <w:lang w:val="pl" w:eastAsia="pl-PL"/>
        </w:rPr>
        <w:t>i pozostałych załączników do wniosku,</w:t>
      </w:r>
    </w:p>
    <w:p>
      <w:pPr>
        <w:numPr>
          <w:ilvl w:val="0"/>
          <w:numId w:val="32"/>
        </w:numPr>
        <w:pBdr>
          <w:top w:val="nil"/>
          <w:left w:val="nil"/>
          <w:bottom w:val="nil"/>
          <w:right w:val="nil"/>
          <w:between w:val="nil"/>
        </w:pBdr>
        <w:spacing w:after="0" w:line="360" w:lineRule="auto"/>
        <w:ind w:right="-40"/>
        <w:jc w:val="both"/>
        <w:rPr>
          <w:rFonts w:ascii="Arial Narrow" w:eastAsia="Tahoma" w:hAnsi="Arial Narrow" w:cs="Tahoma"/>
          <w:color w:val="000000"/>
          <w:lang w:val="pl" w:eastAsia="pl-PL"/>
        </w:rPr>
      </w:pPr>
      <w:r>
        <w:rPr>
          <w:rFonts w:ascii="Arial Narrow" w:eastAsia="Tahoma" w:hAnsi="Arial Narrow" w:cs="Tahoma"/>
          <w:color w:val="000000"/>
          <w:lang w:val="pl" w:eastAsia="pl-PL"/>
        </w:rPr>
        <w:t>uwzględnienie przy ocenie prezentacji przedstawicieli grup inicjatywnych, dotyczących założeń planowanych przedsięwzięć (jeżeli wystąpienia Wnioskodawców w ramach KOW zostały przewidziane),</w:t>
      </w:r>
    </w:p>
    <w:p>
      <w:pPr>
        <w:numPr>
          <w:ilvl w:val="0"/>
          <w:numId w:val="32"/>
        </w:numPr>
        <w:pBdr>
          <w:top w:val="nil"/>
          <w:left w:val="nil"/>
          <w:bottom w:val="nil"/>
          <w:right w:val="nil"/>
          <w:between w:val="nil"/>
        </w:pBdr>
        <w:spacing w:after="0" w:line="360" w:lineRule="auto"/>
        <w:ind w:right="-40"/>
        <w:jc w:val="both"/>
        <w:rPr>
          <w:rFonts w:ascii="Arial Narrow" w:eastAsia="Tahoma" w:hAnsi="Arial Narrow" w:cs="Tahoma"/>
          <w:color w:val="000000"/>
          <w:lang w:val="pl" w:eastAsia="pl-PL"/>
        </w:rPr>
      </w:pPr>
      <w:r>
        <w:rPr>
          <w:rFonts w:ascii="Arial Narrow" w:eastAsia="Tahoma" w:hAnsi="Arial Narrow" w:cs="Tahoma"/>
          <w:color w:val="000000"/>
          <w:lang w:val="pl" w:eastAsia="pl-PL"/>
        </w:rPr>
        <w:t>wyłonienie podmiotów</w:t>
      </w:r>
      <w:r>
        <w:rPr>
          <w:rFonts w:ascii="Arial Narrow" w:eastAsia="Tahoma" w:hAnsi="Arial Narrow" w:cs="Tahoma"/>
          <w:lang w:val="pl" w:eastAsia="pl-PL"/>
        </w:rPr>
        <w:t xml:space="preserve"> rekomendowanych do otrzymania </w:t>
      </w:r>
      <w:r>
        <w:rPr>
          <w:rFonts w:ascii="Arial Narrow" w:eastAsia="Tahoma" w:hAnsi="Arial Narrow" w:cs="Tahoma"/>
          <w:color w:val="000000"/>
          <w:lang w:val="pl" w:eastAsia="pl-PL"/>
        </w:rPr>
        <w:t>wsparci</w:t>
      </w:r>
      <w:r>
        <w:rPr>
          <w:rFonts w:ascii="Arial Narrow" w:eastAsia="Tahoma" w:hAnsi="Arial Narrow" w:cs="Tahoma"/>
          <w:lang w:val="pl" w:eastAsia="pl-PL"/>
        </w:rPr>
        <w:t>a finansowego</w:t>
      </w:r>
      <w:r>
        <w:rPr>
          <w:rFonts w:ascii="Arial Narrow" w:eastAsia="Tahoma" w:hAnsi="Arial Narrow" w:cs="Tahoma"/>
          <w:color w:val="000000"/>
          <w:lang w:val="pl" w:eastAsia="pl-PL"/>
        </w:rPr>
        <w:t xml:space="preserve"> na utworzenie </w:t>
      </w:r>
      <w:r>
        <w:rPr>
          <w:rFonts w:ascii="Arial Narrow" w:eastAsia="Tahoma" w:hAnsi="Arial Narrow" w:cs="Tahoma"/>
          <w:color w:val="000000"/>
          <w:lang w:val="pl" w:eastAsia="pl-PL"/>
        </w:rPr>
        <w:br/>
        <w:t xml:space="preserve">i utrzymanie miejsca pracy (wnioski, które otrzymały co najmniej 60% punktów ogółem, oraz </w:t>
      </w:r>
      <w:r>
        <w:rPr>
          <w:rFonts w:ascii="Arial Narrow" w:eastAsia="Tahoma" w:hAnsi="Arial Narrow" w:cs="Tahoma"/>
          <w:color w:val="000000"/>
          <w:lang w:val="pl" w:eastAsia="pl-PL"/>
        </w:rPr>
        <w:br/>
        <w:t>w poszczególnych punktach oceny merytorycznej uzyskały przynajmniej 60% punktów u każdego oceniającego członka KOW dany wniosek), w ramach alokacji dostępnej na daną rundę konkursową.</w:t>
      </w:r>
    </w:p>
    <w:p>
      <w:pPr>
        <w:numPr>
          <w:ilvl w:val="0"/>
          <w:numId w:val="14"/>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Członkowie KOW nie mogą być związani z osobami wchodzącymi w skład GI oraz osobami wchodzącymi </w:t>
      </w:r>
      <w:r>
        <w:rPr>
          <w:rFonts w:ascii="Arial Narrow" w:eastAsia="Tahoma" w:hAnsi="Arial Narrow" w:cs="Tahoma"/>
          <w:lang w:val="pl" w:eastAsia="pl-PL"/>
        </w:rPr>
        <w:br/>
        <w:t>w skład organów PES/PS ubiegającego się o wsparcie stosunkiem osobistym (związkiem małżeńskim, stosunkiem pokrewieństwa i powinowactwa i/lub związkiem z tytułu przysposobienia, opieki lub kurateli) lub służbowym, takiego rodzaju, który mógłby wywołać wątpliwości, co do bezstronności przeprowadzonych czynności. Członkowie KOW zobowiązani są do podpisania deklaracji bezstronności i poufności. Niepodpisanie deklaracji pozbawia członka KOW możliwości oceny danego wniosku i wniosek jest kierowany do oceny przez innego członka KOW.</w:t>
      </w:r>
    </w:p>
    <w:p>
      <w:pPr>
        <w:numPr>
          <w:ilvl w:val="0"/>
          <w:numId w:val="14"/>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Ocena merytoryczna wniosków dokonywana jest przez 2 niezależnych członków KOW w oparciu o kryteria zawarte w karcie oceny merytorycznej wniosku o przyznanie wsparcia finansowego na utworzenie i utrzymanie miejsc pracy.</w:t>
      </w:r>
    </w:p>
    <w:p>
      <w:pPr>
        <w:numPr>
          <w:ilvl w:val="0"/>
          <w:numId w:val="14"/>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lastRenderedPageBreak/>
        <w:t xml:space="preserve">Przedmiotem oceny KOW są wyłącznie wnioski ocenione jako kompletne i spełniające kryteria formalne. </w:t>
      </w:r>
      <w:r>
        <w:rPr>
          <w:rFonts w:ascii="Arial Narrow" w:eastAsia="Tahoma" w:hAnsi="Arial Narrow" w:cs="Tahoma"/>
          <w:lang w:val="pl" w:eastAsia="pl-PL"/>
        </w:rPr>
        <w:br/>
        <w:t xml:space="preserve">W przypadku, gdy oceniający dostrzeże, że wniosek nie spełnia kryteriów formalnych, a uchybienia te nie zostały zauważone na etapie oceny formalnej, wniosek jako niepodlegający ocenie merytorycznej, trafia ponownie do oceny formalnej. </w:t>
      </w:r>
    </w:p>
    <w:p>
      <w:pPr>
        <w:numPr>
          <w:ilvl w:val="0"/>
          <w:numId w:val="14"/>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Komisja Oceny Wniosków dokonuje oceny wniosku w oparciu o następujące kryteria:</w:t>
      </w:r>
    </w:p>
    <w:p>
      <w:pPr>
        <w:spacing w:after="0" w:line="240" w:lineRule="auto"/>
        <w:ind w:right="-40"/>
        <w:jc w:val="both"/>
        <w:rPr>
          <w:rFonts w:ascii="Arial Narrow" w:eastAsia="Tahoma" w:hAnsi="Arial Narrow" w:cs="Tahoma"/>
          <w:sz w:val="10"/>
          <w:szCs w:val="10"/>
          <w:lang w:val="pl" w:eastAsia="pl-PL"/>
        </w:rPr>
      </w:pPr>
    </w:p>
    <w:tbl>
      <w:tblPr>
        <w:tblW w:w="8829" w:type="dxa"/>
        <w:tblInd w:w="2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7"/>
        <w:gridCol w:w="6986"/>
        <w:gridCol w:w="1276"/>
      </w:tblGrid>
      <w:tr>
        <w:trPr>
          <w:trHeight w:val="567"/>
        </w:trPr>
        <w:tc>
          <w:tcPr>
            <w:tcW w:w="56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pPr>
              <w:spacing w:after="0" w:line="240" w:lineRule="auto"/>
              <w:ind w:right="-40"/>
              <w:rPr>
                <w:rFonts w:ascii="Arial Narrow" w:eastAsia="Tahoma" w:hAnsi="Arial Narrow" w:cs="Tahoma"/>
                <w:b/>
                <w:lang w:val="pl" w:eastAsia="pl-PL"/>
              </w:rPr>
            </w:pPr>
            <w:r>
              <w:rPr>
                <w:rFonts w:ascii="Arial Narrow" w:eastAsia="Tahoma" w:hAnsi="Arial Narrow" w:cs="Tahoma"/>
                <w:b/>
                <w:lang w:val="pl" w:eastAsia="pl-PL"/>
              </w:rPr>
              <w:t>LP.</w:t>
            </w:r>
          </w:p>
        </w:tc>
        <w:tc>
          <w:tcPr>
            <w:tcW w:w="6986" w:type="dxa"/>
            <w:tcBorders>
              <w:top w:val="single" w:sz="8" w:space="0" w:color="000000"/>
              <w:bottom w:val="single" w:sz="8" w:space="0" w:color="000000"/>
              <w:right w:val="single" w:sz="8" w:space="0" w:color="000000"/>
            </w:tcBorders>
            <w:tcMar>
              <w:top w:w="0" w:type="dxa"/>
              <w:left w:w="100" w:type="dxa"/>
              <w:bottom w:w="0" w:type="dxa"/>
              <w:right w:w="100" w:type="dxa"/>
            </w:tcMar>
            <w:vAlign w:val="center"/>
          </w:tcPr>
          <w:p>
            <w:pPr>
              <w:spacing w:after="0" w:line="240" w:lineRule="auto"/>
              <w:ind w:left="360" w:right="-40"/>
              <w:rPr>
                <w:rFonts w:ascii="Arial Narrow" w:eastAsia="Tahoma" w:hAnsi="Arial Narrow" w:cs="Tahoma"/>
                <w:b/>
                <w:lang w:val="pl" w:eastAsia="pl-PL"/>
              </w:rPr>
            </w:pPr>
            <w:r>
              <w:rPr>
                <w:rFonts w:ascii="Arial Narrow" w:eastAsia="Tahoma" w:hAnsi="Arial Narrow" w:cs="Tahoma"/>
                <w:b/>
                <w:lang w:val="pl" w:eastAsia="pl-PL"/>
              </w:rPr>
              <w:t>Kryterium</w:t>
            </w:r>
          </w:p>
        </w:tc>
        <w:tc>
          <w:tcPr>
            <w:tcW w:w="1276" w:type="dxa"/>
            <w:tcBorders>
              <w:top w:val="single" w:sz="8" w:space="0" w:color="000000"/>
              <w:bottom w:val="single" w:sz="8" w:space="0" w:color="000000"/>
              <w:right w:val="single" w:sz="8" w:space="0" w:color="000000"/>
            </w:tcBorders>
            <w:tcMar>
              <w:top w:w="0" w:type="dxa"/>
              <w:left w:w="100" w:type="dxa"/>
              <w:bottom w:w="0" w:type="dxa"/>
              <w:right w:w="100" w:type="dxa"/>
            </w:tcMar>
            <w:vAlign w:val="center"/>
          </w:tcPr>
          <w:p>
            <w:pPr>
              <w:spacing w:after="0" w:line="240" w:lineRule="auto"/>
              <w:ind w:right="-40"/>
              <w:rPr>
                <w:rFonts w:ascii="Arial Narrow" w:eastAsia="Tahoma" w:hAnsi="Arial Narrow" w:cs="Tahoma"/>
                <w:b/>
                <w:lang w:val="pl" w:eastAsia="pl-PL"/>
              </w:rPr>
            </w:pPr>
            <w:r>
              <w:rPr>
                <w:rFonts w:ascii="Arial Narrow" w:eastAsia="Tahoma" w:hAnsi="Arial Narrow" w:cs="Tahoma"/>
                <w:b/>
                <w:lang w:val="pl" w:eastAsia="pl-PL"/>
              </w:rPr>
              <w:t>Max. liczba punktów</w:t>
            </w:r>
          </w:p>
        </w:tc>
      </w:tr>
      <w:tr>
        <w:trPr>
          <w:trHeight w:val="454"/>
        </w:trPr>
        <w:tc>
          <w:tcPr>
            <w:tcW w:w="8829" w:type="dxa"/>
            <w:gridSpan w:val="3"/>
            <w:tcBorders>
              <w:left w:val="single" w:sz="8" w:space="0" w:color="000000"/>
              <w:bottom w:val="single" w:sz="8" w:space="0" w:color="000000"/>
              <w:right w:val="single" w:sz="8" w:space="0" w:color="000000"/>
            </w:tcBorders>
            <w:tcMar>
              <w:top w:w="0" w:type="dxa"/>
              <w:left w:w="100" w:type="dxa"/>
              <w:bottom w:w="0" w:type="dxa"/>
              <w:right w:w="100" w:type="dxa"/>
            </w:tcMar>
            <w:vAlign w:val="center"/>
          </w:tcPr>
          <w:p>
            <w:pPr>
              <w:spacing w:after="0" w:line="276" w:lineRule="auto"/>
              <w:ind w:left="360" w:right="-40"/>
              <w:rPr>
                <w:rFonts w:ascii="Arial Narrow" w:eastAsia="Tahoma" w:hAnsi="Arial Narrow" w:cs="Tahoma"/>
                <w:b/>
                <w:lang w:val="pl" w:eastAsia="pl-PL"/>
              </w:rPr>
            </w:pPr>
            <w:r>
              <w:rPr>
                <w:rFonts w:ascii="Arial Narrow" w:eastAsia="Tahoma" w:hAnsi="Arial Narrow" w:cs="Tahoma"/>
                <w:b/>
                <w:lang w:val="pl" w:eastAsia="pl-PL"/>
              </w:rPr>
              <w:t>I. Celowość przedsięwzięcia</w:t>
            </w:r>
          </w:p>
        </w:tc>
      </w:tr>
      <w:tr>
        <w:trPr>
          <w:trHeight w:val="1007"/>
        </w:trPr>
        <w:tc>
          <w:tcPr>
            <w:tcW w:w="567"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center"/>
          </w:tcPr>
          <w:p>
            <w:pPr>
              <w:spacing w:after="0" w:line="360" w:lineRule="auto"/>
              <w:ind w:right="-40"/>
              <w:jc w:val="center"/>
              <w:rPr>
                <w:rFonts w:ascii="Arial Narrow" w:eastAsia="Tahoma" w:hAnsi="Arial Narrow" w:cs="Tahoma"/>
                <w:lang w:val="pl" w:eastAsia="pl-PL"/>
              </w:rPr>
            </w:pPr>
            <w:r>
              <w:rPr>
                <w:rFonts w:ascii="Arial Narrow" w:eastAsia="Tahoma" w:hAnsi="Arial Narrow" w:cs="Tahoma"/>
                <w:lang w:val="pl" w:eastAsia="pl-PL"/>
              </w:rPr>
              <w:t>1.</w:t>
            </w:r>
          </w:p>
        </w:tc>
        <w:tc>
          <w:tcPr>
            <w:tcW w:w="6986" w:type="dxa"/>
            <w:tcBorders>
              <w:bottom w:val="single" w:sz="8" w:space="0" w:color="000000"/>
              <w:right w:val="single" w:sz="8" w:space="0" w:color="000000"/>
            </w:tcBorders>
            <w:shd w:val="clear" w:color="auto" w:fill="auto"/>
            <w:tcMar>
              <w:top w:w="0" w:type="dxa"/>
              <w:left w:w="100" w:type="dxa"/>
              <w:bottom w:w="0" w:type="dxa"/>
              <w:right w:w="100" w:type="dxa"/>
            </w:tcMar>
          </w:tcPr>
          <w:p>
            <w:pPr>
              <w:spacing w:after="0" w:line="276" w:lineRule="auto"/>
              <w:ind w:left="67" w:right="-40"/>
              <w:rPr>
                <w:rFonts w:ascii="Arial Narrow" w:eastAsia="Tahoma" w:hAnsi="Arial Narrow" w:cs="Tahoma"/>
                <w:lang w:val="pl" w:eastAsia="pl-PL"/>
              </w:rPr>
            </w:pPr>
            <w:r>
              <w:rPr>
                <w:rFonts w:ascii="Arial Narrow" w:eastAsia="Tahoma" w:hAnsi="Arial Narrow" w:cs="Tahoma"/>
                <w:lang w:val="pl" w:eastAsia="pl-PL"/>
              </w:rPr>
              <w:t xml:space="preserve">Uzasadnienie dla utworzenia PS i utworzenia nowych miejsc pracy </w:t>
            </w:r>
            <w:r>
              <w:rPr>
                <w:rFonts w:ascii="Arial Narrow" w:eastAsia="Tahoma" w:hAnsi="Arial Narrow" w:cs="Tahoma"/>
                <w:lang w:val="pl" w:eastAsia="pl-PL"/>
              </w:rPr>
              <w:br/>
              <w:t>w nowoutworzonym PS bądź utworzenia nowych miejsc pracy w istniejącym PS, bądź utworzenia nowych miejsc pracy w PES przekształcającym się w PS.</w:t>
            </w:r>
          </w:p>
        </w:tc>
        <w:tc>
          <w:tcPr>
            <w:tcW w:w="1276" w:type="dxa"/>
            <w:tcBorders>
              <w:bottom w:val="single" w:sz="8" w:space="0" w:color="000000"/>
              <w:right w:val="single" w:sz="8" w:space="0" w:color="000000"/>
            </w:tcBorders>
            <w:shd w:val="clear" w:color="auto" w:fill="auto"/>
            <w:tcMar>
              <w:top w:w="0" w:type="dxa"/>
              <w:left w:w="100" w:type="dxa"/>
              <w:bottom w:w="0" w:type="dxa"/>
              <w:right w:w="100" w:type="dxa"/>
            </w:tcMar>
          </w:tcPr>
          <w:p>
            <w:pPr>
              <w:spacing w:after="0" w:line="360" w:lineRule="auto"/>
              <w:ind w:left="109" w:right="-40"/>
              <w:jc w:val="both"/>
              <w:rPr>
                <w:rFonts w:ascii="Arial Narrow" w:eastAsia="Tahoma" w:hAnsi="Arial Narrow" w:cs="Tahoma"/>
                <w:lang w:val="pl" w:eastAsia="pl-PL"/>
              </w:rPr>
            </w:pPr>
            <w:r>
              <w:rPr>
                <w:rFonts w:ascii="Arial Narrow" w:eastAsia="Tahoma" w:hAnsi="Arial Narrow" w:cs="Tahoma"/>
                <w:lang w:val="pl" w:eastAsia="pl-PL"/>
              </w:rPr>
              <w:t>5</w:t>
            </w:r>
          </w:p>
        </w:tc>
      </w:tr>
      <w:tr>
        <w:trPr>
          <w:trHeight w:val="1533"/>
        </w:trPr>
        <w:tc>
          <w:tcPr>
            <w:tcW w:w="567"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center"/>
          </w:tcPr>
          <w:p>
            <w:pPr>
              <w:spacing w:after="0" w:line="360" w:lineRule="auto"/>
              <w:ind w:right="-40"/>
              <w:jc w:val="center"/>
              <w:rPr>
                <w:rFonts w:ascii="Arial Narrow" w:eastAsia="Tahoma" w:hAnsi="Arial Narrow" w:cs="Tahoma"/>
                <w:lang w:val="pl" w:eastAsia="pl-PL"/>
              </w:rPr>
            </w:pPr>
            <w:r>
              <w:rPr>
                <w:rFonts w:ascii="Arial Narrow" w:eastAsia="Tahoma" w:hAnsi="Arial Narrow" w:cs="Tahoma"/>
                <w:lang w:val="pl" w:eastAsia="pl-PL"/>
              </w:rPr>
              <w:t>2.</w:t>
            </w:r>
          </w:p>
        </w:tc>
        <w:tc>
          <w:tcPr>
            <w:tcW w:w="6986" w:type="dxa"/>
            <w:tcBorders>
              <w:bottom w:val="single" w:sz="8" w:space="0" w:color="000000"/>
              <w:right w:val="single" w:sz="8" w:space="0" w:color="000000"/>
            </w:tcBorders>
            <w:shd w:val="clear" w:color="auto" w:fill="auto"/>
            <w:tcMar>
              <w:top w:w="0" w:type="dxa"/>
              <w:left w:w="100" w:type="dxa"/>
              <w:bottom w:w="0" w:type="dxa"/>
              <w:right w:w="100" w:type="dxa"/>
            </w:tcMar>
          </w:tcPr>
          <w:p>
            <w:pPr>
              <w:spacing w:after="0" w:line="276" w:lineRule="auto"/>
              <w:ind w:left="67" w:right="-40"/>
              <w:rPr>
                <w:rFonts w:ascii="Arial Narrow" w:eastAsia="Tahoma" w:hAnsi="Arial Narrow" w:cs="Tahoma"/>
                <w:highlight w:val="yellow"/>
                <w:lang w:val="pl" w:eastAsia="pl-PL"/>
              </w:rPr>
            </w:pPr>
            <w:r>
              <w:rPr>
                <w:rFonts w:ascii="Arial Narrow" w:eastAsia="Tahoma" w:hAnsi="Arial Narrow" w:cs="Tahoma"/>
                <w:lang w:val="pl" w:eastAsia="pl-PL"/>
              </w:rPr>
              <w:t xml:space="preserve">Tworzenie nowych miejsc pracy i nowych PS w kluczowych sferach rozwojowych wskazanych w </w:t>
            </w:r>
            <w:r>
              <w:rPr>
                <w:rFonts w:ascii="Arial Narrow" w:eastAsia="Tahoma" w:hAnsi="Arial Narrow" w:cs="Tahoma"/>
                <w:b/>
                <w:lang w:val="pl" w:eastAsia="pl-PL"/>
              </w:rPr>
              <w:t>Krajowym Programie Rozwoju Ekonomii Społecznej do 2030 roku. Ekonomia Solidarności Społecznej</w:t>
            </w:r>
            <w:r>
              <w:rPr>
                <w:rFonts w:ascii="Arial Narrow" w:eastAsia="Tahoma" w:hAnsi="Arial Narrow" w:cs="Tahoma"/>
                <w:lang w:val="pl" w:eastAsia="pl-PL"/>
              </w:rPr>
              <w:t>, tj. zrównoważony rozwój, rozwój społeczności lokalnej, tożsamości i edukacji kulturowej, solidarność pokoleń, rozwój usług aktywnej integracji.</w:t>
            </w:r>
          </w:p>
        </w:tc>
        <w:tc>
          <w:tcPr>
            <w:tcW w:w="1276" w:type="dxa"/>
            <w:tcBorders>
              <w:bottom w:val="single" w:sz="8" w:space="0" w:color="000000"/>
              <w:right w:val="single" w:sz="8" w:space="0" w:color="000000"/>
            </w:tcBorders>
            <w:shd w:val="clear" w:color="auto" w:fill="auto"/>
            <w:tcMar>
              <w:top w:w="0" w:type="dxa"/>
              <w:left w:w="100" w:type="dxa"/>
              <w:bottom w:w="0" w:type="dxa"/>
              <w:right w:w="100" w:type="dxa"/>
            </w:tcMar>
          </w:tcPr>
          <w:p>
            <w:pPr>
              <w:spacing w:after="0" w:line="360" w:lineRule="auto"/>
              <w:ind w:left="109" w:right="-40"/>
              <w:jc w:val="both"/>
              <w:rPr>
                <w:rFonts w:ascii="Arial Narrow" w:eastAsia="Tahoma" w:hAnsi="Arial Narrow" w:cs="Tahoma"/>
                <w:lang w:val="pl" w:eastAsia="pl-PL"/>
              </w:rPr>
            </w:pPr>
            <w:r>
              <w:rPr>
                <w:rFonts w:ascii="Arial Narrow" w:eastAsia="Tahoma" w:hAnsi="Arial Narrow" w:cs="Tahoma"/>
                <w:lang w:val="pl" w:eastAsia="pl-PL"/>
              </w:rPr>
              <w:t>5</w:t>
            </w:r>
          </w:p>
        </w:tc>
      </w:tr>
      <w:tr>
        <w:trPr>
          <w:trHeight w:val="1080"/>
        </w:trPr>
        <w:tc>
          <w:tcPr>
            <w:tcW w:w="567"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center"/>
          </w:tcPr>
          <w:p>
            <w:pPr>
              <w:spacing w:after="0" w:line="360" w:lineRule="auto"/>
              <w:ind w:right="-40"/>
              <w:jc w:val="center"/>
              <w:rPr>
                <w:rFonts w:ascii="Arial Narrow" w:eastAsia="Tahoma" w:hAnsi="Arial Narrow" w:cs="Tahoma"/>
                <w:lang w:val="pl" w:eastAsia="pl-PL"/>
              </w:rPr>
            </w:pPr>
            <w:r>
              <w:rPr>
                <w:rFonts w:ascii="Arial Narrow" w:eastAsia="Tahoma" w:hAnsi="Arial Narrow" w:cs="Tahoma"/>
                <w:lang w:val="pl" w:eastAsia="pl-PL"/>
              </w:rPr>
              <w:t>3.</w:t>
            </w:r>
          </w:p>
        </w:tc>
        <w:tc>
          <w:tcPr>
            <w:tcW w:w="6986" w:type="dxa"/>
            <w:tcBorders>
              <w:bottom w:val="single" w:sz="8" w:space="0" w:color="000000"/>
              <w:right w:val="single" w:sz="8" w:space="0" w:color="000000"/>
            </w:tcBorders>
            <w:shd w:val="clear" w:color="auto" w:fill="auto"/>
            <w:tcMar>
              <w:top w:w="0" w:type="dxa"/>
              <w:left w:w="100" w:type="dxa"/>
              <w:bottom w:w="0" w:type="dxa"/>
              <w:right w:w="100" w:type="dxa"/>
            </w:tcMar>
          </w:tcPr>
          <w:p>
            <w:pPr>
              <w:spacing w:after="0" w:line="276" w:lineRule="auto"/>
              <w:ind w:left="67" w:right="-40"/>
              <w:rPr>
                <w:rFonts w:ascii="Arial Narrow" w:eastAsia="Tahoma" w:hAnsi="Arial Narrow" w:cs="Tahoma"/>
                <w:lang w:val="pl" w:eastAsia="pl-PL"/>
              </w:rPr>
            </w:pPr>
            <w:r>
              <w:rPr>
                <w:rFonts w:ascii="Arial Narrow" w:eastAsia="Tahoma" w:hAnsi="Arial Narrow" w:cs="Tahoma"/>
                <w:b/>
                <w:lang w:val="pl" w:eastAsia="pl-PL"/>
              </w:rPr>
              <w:t>Ocena wartości społecznej</w:t>
            </w:r>
            <w:r>
              <w:rPr>
                <w:rFonts w:ascii="Arial Narrow" w:eastAsia="Tahoma" w:hAnsi="Arial Narrow" w:cs="Tahoma"/>
                <w:lang w:val="pl" w:eastAsia="pl-PL"/>
              </w:rPr>
              <w:t xml:space="preserve"> przedsięwzięcia, ze szczególnym uwzględnieniem reintegracji społeczno-zawodowej, świadczenia usług społecznych </w:t>
            </w:r>
            <w:r>
              <w:rPr>
                <w:rFonts w:ascii="Arial Narrow" w:eastAsia="Tahoma" w:hAnsi="Arial Narrow" w:cs="Tahoma"/>
                <w:lang w:val="pl" w:eastAsia="pl-PL"/>
              </w:rPr>
              <w:br/>
              <w:t>i odpowiedzialności społecznej przedsiębiorstwa.</w:t>
            </w:r>
          </w:p>
        </w:tc>
        <w:tc>
          <w:tcPr>
            <w:tcW w:w="1276" w:type="dxa"/>
            <w:tcBorders>
              <w:bottom w:val="single" w:sz="8" w:space="0" w:color="000000"/>
              <w:right w:val="single" w:sz="8" w:space="0" w:color="000000"/>
            </w:tcBorders>
            <w:shd w:val="clear" w:color="auto" w:fill="auto"/>
            <w:tcMar>
              <w:top w:w="0" w:type="dxa"/>
              <w:left w:w="100" w:type="dxa"/>
              <w:bottom w:w="0" w:type="dxa"/>
              <w:right w:w="100" w:type="dxa"/>
            </w:tcMar>
          </w:tcPr>
          <w:p>
            <w:pPr>
              <w:spacing w:after="0" w:line="360" w:lineRule="auto"/>
              <w:ind w:right="-40" w:hanging="33"/>
              <w:jc w:val="both"/>
              <w:rPr>
                <w:rFonts w:ascii="Arial Narrow" w:eastAsia="Tahoma" w:hAnsi="Arial Narrow" w:cs="Tahoma"/>
                <w:lang w:val="pl" w:eastAsia="pl-PL"/>
              </w:rPr>
            </w:pPr>
            <w:r>
              <w:rPr>
                <w:rFonts w:ascii="Arial Narrow" w:eastAsia="Tahoma" w:hAnsi="Arial Narrow" w:cs="Tahoma"/>
                <w:lang w:val="pl" w:eastAsia="pl-PL"/>
              </w:rPr>
              <w:t>10</w:t>
            </w:r>
          </w:p>
        </w:tc>
      </w:tr>
      <w:tr>
        <w:trPr>
          <w:trHeight w:val="454"/>
        </w:trPr>
        <w:tc>
          <w:tcPr>
            <w:tcW w:w="8829" w:type="dxa"/>
            <w:gridSpan w:val="3"/>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center"/>
          </w:tcPr>
          <w:p>
            <w:pPr>
              <w:spacing w:after="0" w:line="276" w:lineRule="auto"/>
              <w:ind w:left="360" w:right="-40"/>
              <w:rPr>
                <w:rFonts w:ascii="Arial Narrow" w:eastAsia="Tahoma" w:hAnsi="Arial Narrow" w:cs="Tahoma"/>
                <w:b/>
                <w:lang w:val="pl" w:eastAsia="pl-PL"/>
              </w:rPr>
            </w:pPr>
            <w:r>
              <w:rPr>
                <w:rFonts w:ascii="Arial Narrow" w:eastAsia="Tahoma" w:hAnsi="Arial Narrow" w:cs="Tahoma"/>
                <w:b/>
                <w:lang w:val="pl" w:eastAsia="pl-PL"/>
              </w:rPr>
              <w:t>II. Realność założeń i wykonalność przedsięwzięcia</w:t>
            </w:r>
          </w:p>
        </w:tc>
      </w:tr>
      <w:tr>
        <w:trPr>
          <w:trHeight w:val="680"/>
        </w:trPr>
        <w:tc>
          <w:tcPr>
            <w:tcW w:w="567"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center"/>
          </w:tcPr>
          <w:p>
            <w:pPr>
              <w:spacing w:after="0" w:line="360" w:lineRule="auto"/>
              <w:ind w:right="-40"/>
              <w:jc w:val="center"/>
              <w:rPr>
                <w:rFonts w:ascii="Arial Narrow" w:eastAsia="Tahoma" w:hAnsi="Arial Narrow" w:cs="Tahoma"/>
                <w:lang w:val="pl" w:eastAsia="pl-PL"/>
              </w:rPr>
            </w:pPr>
            <w:r>
              <w:rPr>
                <w:rFonts w:ascii="Arial Narrow" w:eastAsia="Tahoma" w:hAnsi="Arial Narrow" w:cs="Tahoma"/>
                <w:lang w:val="pl" w:eastAsia="pl-PL"/>
              </w:rPr>
              <w:t>1.</w:t>
            </w:r>
          </w:p>
        </w:tc>
        <w:tc>
          <w:tcPr>
            <w:tcW w:w="6986" w:type="dxa"/>
            <w:tcBorders>
              <w:bottom w:val="single" w:sz="8" w:space="0" w:color="000000"/>
              <w:right w:val="single" w:sz="8" w:space="0" w:color="000000"/>
            </w:tcBorders>
            <w:shd w:val="clear" w:color="auto" w:fill="auto"/>
            <w:tcMar>
              <w:top w:w="0" w:type="dxa"/>
              <w:left w:w="100" w:type="dxa"/>
              <w:bottom w:w="0" w:type="dxa"/>
              <w:right w:w="100" w:type="dxa"/>
            </w:tcMar>
          </w:tcPr>
          <w:p>
            <w:pPr>
              <w:spacing w:after="0" w:line="276"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Projektowane produkty/usługi są możliwe do realizacji (tzn. zgodne </w:t>
            </w:r>
            <w:r>
              <w:rPr>
                <w:rFonts w:ascii="Arial Narrow" w:eastAsia="Tahoma" w:hAnsi="Arial Narrow" w:cs="Tahoma"/>
                <w:lang w:val="pl" w:eastAsia="pl-PL"/>
              </w:rPr>
              <w:br/>
              <w:t>z zapotrzebowaniem klientów i zasobami PS/PES).</w:t>
            </w:r>
          </w:p>
        </w:tc>
        <w:tc>
          <w:tcPr>
            <w:tcW w:w="1276" w:type="dxa"/>
            <w:tcBorders>
              <w:bottom w:val="single" w:sz="8" w:space="0" w:color="000000"/>
              <w:right w:val="single" w:sz="8" w:space="0" w:color="000000"/>
            </w:tcBorders>
            <w:shd w:val="clear" w:color="auto" w:fill="auto"/>
            <w:tcMar>
              <w:top w:w="0" w:type="dxa"/>
              <w:left w:w="100" w:type="dxa"/>
              <w:bottom w:w="0" w:type="dxa"/>
              <w:right w:w="100" w:type="dxa"/>
            </w:tcMar>
          </w:tcPr>
          <w:p>
            <w:pPr>
              <w:spacing w:after="0" w:line="360" w:lineRule="auto"/>
              <w:ind w:left="109" w:right="-40"/>
              <w:jc w:val="both"/>
              <w:rPr>
                <w:rFonts w:ascii="Arial Narrow" w:eastAsia="Tahoma" w:hAnsi="Arial Narrow" w:cs="Tahoma"/>
                <w:lang w:val="pl" w:eastAsia="pl-PL"/>
              </w:rPr>
            </w:pPr>
            <w:r>
              <w:rPr>
                <w:rFonts w:ascii="Arial Narrow" w:eastAsia="Tahoma" w:hAnsi="Arial Narrow" w:cs="Tahoma"/>
                <w:lang w:val="pl" w:eastAsia="pl-PL"/>
              </w:rPr>
              <w:t>10</w:t>
            </w:r>
          </w:p>
        </w:tc>
      </w:tr>
      <w:tr>
        <w:trPr>
          <w:trHeight w:val="680"/>
        </w:trPr>
        <w:tc>
          <w:tcPr>
            <w:tcW w:w="567"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center"/>
          </w:tcPr>
          <w:p>
            <w:pPr>
              <w:spacing w:after="0" w:line="360" w:lineRule="auto"/>
              <w:ind w:right="-40"/>
              <w:jc w:val="center"/>
              <w:rPr>
                <w:rFonts w:ascii="Arial Narrow" w:eastAsia="Tahoma" w:hAnsi="Arial Narrow" w:cs="Tahoma"/>
                <w:lang w:val="pl" w:eastAsia="pl-PL"/>
              </w:rPr>
            </w:pPr>
            <w:r>
              <w:rPr>
                <w:rFonts w:ascii="Arial Narrow" w:eastAsia="Tahoma" w:hAnsi="Arial Narrow" w:cs="Tahoma"/>
                <w:lang w:val="pl" w:eastAsia="pl-PL"/>
              </w:rPr>
              <w:t>2.</w:t>
            </w:r>
          </w:p>
        </w:tc>
        <w:tc>
          <w:tcPr>
            <w:tcW w:w="6986" w:type="dxa"/>
            <w:tcBorders>
              <w:bottom w:val="single" w:sz="8" w:space="0" w:color="000000"/>
              <w:right w:val="single" w:sz="8" w:space="0" w:color="000000"/>
            </w:tcBorders>
            <w:shd w:val="clear" w:color="auto" w:fill="auto"/>
            <w:tcMar>
              <w:top w:w="0" w:type="dxa"/>
              <w:left w:w="100" w:type="dxa"/>
              <w:bottom w:w="0" w:type="dxa"/>
              <w:right w:w="100" w:type="dxa"/>
            </w:tcMar>
          </w:tcPr>
          <w:p>
            <w:pPr>
              <w:spacing w:after="0" w:line="276" w:lineRule="auto"/>
              <w:ind w:right="-40"/>
              <w:jc w:val="both"/>
              <w:rPr>
                <w:rFonts w:ascii="Arial Narrow" w:eastAsia="Tahoma" w:hAnsi="Arial Narrow" w:cs="Tahoma"/>
                <w:strike/>
                <w:lang w:val="pl" w:eastAsia="pl-PL"/>
              </w:rPr>
            </w:pPr>
            <w:r>
              <w:rPr>
                <w:rFonts w:ascii="Arial Narrow" w:eastAsia="Tahoma" w:hAnsi="Arial Narrow" w:cs="Tahoma"/>
                <w:lang w:val="pl" w:eastAsia="pl-PL"/>
              </w:rPr>
              <w:t>Adekwatność wskazanych potencjalnych kluczowych klientów w stosunku do planu przedsięwzięcia (analiza rynku oraz konkurencji).</w:t>
            </w:r>
          </w:p>
        </w:tc>
        <w:tc>
          <w:tcPr>
            <w:tcW w:w="1276" w:type="dxa"/>
            <w:tcBorders>
              <w:bottom w:val="single" w:sz="8" w:space="0" w:color="000000"/>
              <w:right w:val="single" w:sz="8" w:space="0" w:color="000000"/>
            </w:tcBorders>
            <w:shd w:val="clear" w:color="auto" w:fill="auto"/>
            <w:tcMar>
              <w:top w:w="0" w:type="dxa"/>
              <w:left w:w="100" w:type="dxa"/>
              <w:bottom w:w="0" w:type="dxa"/>
              <w:right w:w="100" w:type="dxa"/>
            </w:tcMar>
          </w:tcPr>
          <w:p>
            <w:pPr>
              <w:spacing w:after="0" w:line="360" w:lineRule="auto"/>
              <w:ind w:left="109" w:right="-40"/>
              <w:jc w:val="both"/>
              <w:rPr>
                <w:rFonts w:ascii="Arial Narrow" w:eastAsia="Tahoma" w:hAnsi="Arial Narrow" w:cs="Tahoma"/>
                <w:lang w:val="pl" w:eastAsia="pl-PL"/>
              </w:rPr>
            </w:pPr>
            <w:r>
              <w:rPr>
                <w:rFonts w:ascii="Arial Narrow" w:eastAsia="Tahoma" w:hAnsi="Arial Narrow" w:cs="Tahoma"/>
                <w:lang w:val="pl" w:eastAsia="pl-PL"/>
              </w:rPr>
              <w:t>10</w:t>
            </w:r>
          </w:p>
        </w:tc>
      </w:tr>
      <w:tr>
        <w:trPr>
          <w:trHeight w:val="680"/>
        </w:trPr>
        <w:tc>
          <w:tcPr>
            <w:tcW w:w="567"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center"/>
          </w:tcPr>
          <w:p>
            <w:pPr>
              <w:spacing w:after="0" w:line="360" w:lineRule="auto"/>
              <w:ind w:right="-40"/>
              <w:jc w:val="center"/>
              <w:rPr>
                <w:rFonts w:ascii="Arial Narrow" w:eastAsia="Tahoma" w:hAnsi="Arial Narrow" w:cs="Tahoma"/>
                <w:lang w:val="pl" w:eastAsia="pl-PL"/>
              </w:rPr>
            </w:pPr>
            <w:r>
              <w:rPr>
                <w:rFonts w:ascii="Arial Narrow" w:eastAsia="Tahoma" w:hAnsi="Arial Narrow" w:cs="Tahoma"/>
                <w:lang w:val="pl" w:eastAsia="pl-PL"/>
              </w:rPr>
              <w:t>3.</w:t>
            </w:r>
          </w:p>
        </w:tc>
        <w:tc>
          <w:tcPr>
            <w:tcW w:w="6986" w:type="dxa"/>
            <w:tcBorders>
              <w:bottom w:val="single" w:sz="8" w:space="0" w:color="000000"/>
              <w:right w:val="single" w:sz="8" w:space="0" w:color="000000"/>
            </w:tcBorders>
            <w:shd w:val="clear" w:color="auto" w:fill="auto"/>
            <w:tcMar>
              <w:top w:w="0" w:type="dxa"/>
              <w:left w:w="100" w:type="dxa"/>
              <w:bottom w:w="0" w:type="dxa"/>
              <w:right w:w="100" w:type="dxa"/>
            </w:tcMar>
          </w:tcPr>
          <w:p>
            <w:pPr>
              <w:spacing w:after="0" w:line="276" w:lineRule="auto"/>
              <w:ind w:right="-40"/>
              <w:jc w:val="both"/>
              <w:rPr>
                <w:rFonts w:ascii="Arial Narrow" w:eastAsia="Tahoma" w:hAnsi="Arial Narrow" w:cs="Tahoma"/>
                <w:lang w:val="pl" w:eastAsia="pl-PL"/>
              </w:rPr>
            </w:pPr>
            <w:r>
              <w:rPr>
                <w:rFonts w:ascii="Arial Narrow" w:eastAsia="Tahoma" w:hAnsi="Arial Narrow" w:cs="Tahoma"/>
                <w:lang w:val="pl" w:eastAsia="pl-PL"/>
              </w:rPr>
              <w:t>Uzasadnienie przyjętej polityki cenowej oraz prognozowanej sprzedaży (w tym oferty/ofert usług danego PS/PES w odniesieniu do realizowanego przedsięwzięcia).</w:t>
            </w:r>
          </w:p>
        </w:tc>
        <w:tc>
          <w:tcPr>
            <w:tcW w:w="1276" w:type="dxa"/>
            <w:tcBorders>
              <w:bottom w:val="single" w:sz="8" w:space="0" w:color="000000"/>
              <w:right w:val="single" w:sz="8" w:space="0" w:color="000000"/>
            </w:tcBorders>
            <w:shd w:val="clear" w:color="auto" w:fill="auto"/>
            <w:tcMar>
              <w:top w:w="0" w:type="dxa"/>
              <w:left w:w="100" w:type="dxa"/>
              <w:bottom w:w="0" w:type="dxa"/>
              <w:right w:w="100" w:type="dxa"/>
            </w:tcMar>
          </w:tcPr>
          <w:p>
            <w:pPr>
              <w:spacing w:after="0" w:line="360" w:lineRule="auto"/>
              <w:ind w:left="109" w:right="-40"/>
              <w:jc w:val="both"/>
              <w:rPr>
                <w:rFonts w:ascii="Arial Narrow" w:eastAsia="Tahoma" w:hAnsi="Arial Narrow" w:cs="Tahoma"/>
                <w:lang w:val="pl" w:eastAsia="pl-PL"/>
              </w:rPr>
            </w:pPr>
            <w:r>
              <w:rPr>
                <w:rFonts w:ascii="Arial Narrow" w:eastAsia="Tahoma" w:hAnsi="Arial Narrow" w:cs="Tahoma"/>
                <w:lang w:val="pl" w:eastAsia="pl-PL"/>
              </w:rPr>
              <w:t>10</w:t>
            </w:r>
          </w:p>
        </w:tc>
      </w:tr>
      <w:tr>
        <w:trPr>
          <w:trHeight w:val="454"/>
        </w:trPr>
        <w:tc>
          <w:tcPr>
            <w:tcW w:w="8829" w:type="dxa"/>
            <w:gridSpan w:val="3"/>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pPr>
              <w:spacing w:after="0" w:line="276" w:lineRule="auto"/>
              <w:ind w:left="360" w:right="-40"/>
              <w:jc w:val="both"/>
              <w:rPr>
                <w:rFonts w:ascii="Arial Narrow" w:eastAsia="Tahoma" w:hAnsi="Arial Narrow" w:cs="Tahoma"/>
                <w:b/>
                <w:lang w:val="pl" w:eastAsia="pl-PL"/>
              </w:rPr>
            </w:pPr>
            <w:r>
              <w:rPr>
                <w:rFonts w:ascii="Arial Narrow" w:eastAsia="Tahoma" w:hAnsi="Arial Narrow" w:cs="Tahoma"/>
                <w:b/>
                <w:lang w:val="pl" w:eastAsia="pl-PL"/>
              </w:rPr>
              <w:t>III. Potencjał i zasoby grupy</w:t>
            </w:r>
          </w:p>
        </w:tc>
      </w:tr>
      <w:tr>
        <w:trPr>
          <w:trHeight w:val="680"/>
        </w:trPr>
        <w:tc>
          <w:tcPr>
            <w:tcW w:w="567"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center"/>
          </w:tcPr>
          <w:p>
            <w:pPr>
              <w:spacing w:after="0" w:line="360" w:lineRule="auto"/>
              <w:ind w:right="-40"/>
              <w:jc w:val="center"/>
              <w:rPr>
                <w:rFonts w:ascii="Arial Narrow" w:eastAsia="Tahoma" w:hAnsi="Arial Narrow" w:cs="Tahoma"/>
                <w:lang w:val="pl" w:eastAsia="pl-PL"/>
              </w:rPr>
            </w:pPr>
            <w:r>
              <w:rPr>
                <w:rFonts w:ascii="Arial Narrow" w:eastAsia="Tahoma" w:hAnsi="Arial Narrow" w:cs="Tahoma"/>
                <w:lang w:val="pl" w:eastAsia="pl-PL"/>
              </w:rPr>
              <w:t>1.</w:t>
            </w:r>
          </w:p>
        </w:tc>
        <w:tc>
          <w:tcPr>
            <w:tcW w:w="6986" w:type="dxa"/>
            <w:tcBorders>
              <w:bottom w:val="single" w:sz="8" w:space="0" w:color="000000"/>
              <w:right w:val="single" w:sz="8" w:space="0" w:color="000000"/>
            </w:tcBorders>
            <w:shd w:val="clear" w:color="auto" w:fill="auto"/>
            <w:tcMar>
              <w:top w:w="0" w:type="dxa"/>
              <w:left w:w="100" w:type="dxa"/>
              <w:bottom w:w="0" w:type="dxa"/>
              <w:right w:w="100" w:type="dxa"/>
            </w:tcMar>
          </w:tcPr>
          <w:p>
            <w:pPr>
              <w:spacing w:after="0" w:line="276" w:lineRule="auto"/>
              <w:ind w:left="67" w:right="-40"/>
              <w:jc w:val="both"/>
              <w:rPr>
                <w:rFonts w:ascii="Arial Narrow" w:eastAsia="Tahoma" w:hAnsi="Arial Narrow" w:cs="Tahoma"/>
                <w:color w:val="FF0000"/>
                <w:lang w:val="pl" w:eastAsia="pl-PL"/>
              </w:rPr>
            </w:pPr>
            <w:r>
              <w:rPr>
                <w:rFonts w:ascii="Arial Narrow" w:eastAsia="Tahoma" w:hAnsi="Arial Narrow" w:cs="Tahoma"/>
                <w:lang w:val="pl" w:eastAsia="pl-PL"/>
              </w:rPr>
              <w:t>Potencjał Wnioskodawcy w obszarze posiadanych zasobów osobowych, rzeczowych, finansowych, partnerskich oraz doświadczenie.</w:t>
            </w:r>
          </w:p>
        </w:tc>
        <w:tc>
          <w:tcPr>
            <w:tcW w:w="1276" w:type="dxa"/>
            <w:tcBorders>
              <w:bottom w:val="single" w:sz="8" w:space="0" w:color="000000"/>
              <w:right w:val="single" w:sz="8" w:space="0" w:color="000000"/>
            </w:tcBorders>
            <w:shd w:val="clear" w:color="auto" w:fill="auto"/>
            <w:tcMar>
              <w:top w:w="0" w:type="dxa"/>
              <w:left w:w="100" w:type="dxa"/>
              <w:bottom w:w="0" w:type="dxa"/>
              <w:right w:w="100" w:type="dxa"/>
            </w:tcMar>
          </w:tcPr>
          <w:p>
            <w:p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10</w:t>
            </w:r>
          </w:p>
        </w:tc>
      </w:tr>
      <w:tr>
        <w:trPr>
          <w:trHeight w:val="454"/>
        </w:trPr>
        <w:tc>
          <w:tcPr>
            <w:tcW w:w="8829" w:type="dxa"/>
            <w:gridSpan w:val="3"/>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vAlign w:val="center"/>
          </w:tcPr>
          <w:p>
            <w:pPr>
              <w:spacing w:after="0" w:line="360" w:lineRule="auto"/>
              <w:ind w:left="360" w:right="-40"/>
              <w:rPr>
                <w:rFonts w:ascii="Arial Narrow" w:eastAsia="Tahoma" w:hAnsi="Arial Narrow" w:cs="Tahoma"/>
                <w:b/>
                <w:lang w:val="pl" w:eastAsia="pl-PL"/>
              </w:rPr>
            </w:pPr>
            <w:r>
              <w:rPr>
                <w:rFonts w:ascii="Arial Narrow" w:eastAsia="Tahoma" w:hAnsi="Arial Narrow" w:cs="Tahoma"/>
                <w:b/>
                <w:lang w:val="pl" w:eastAsia="pl-PL"/>
              </w:rPr>
              <w:t>IV. Racjonalność i wykonalność finansowa przedsięwzięcia</w:t>
            </w:r>
          </w:p>
        </w:tc>
      </w:tr>
      <w:tr>
        <w:trPr>
          <w:trHeight w:val="1417"/>
        </w:trPr>
        <w:tc>
          <w:tcPr>
            <w:tcW w:w="567"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p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1.</w:t>
            </w:r>
          </w:p>
        </w:tc>
        <w:tc>
          <w:tcPr>
            <w:tcW w:w="6986" w:type="dxa"/>
            <w:tcBorders>
              <w:bottom w:val="single" w:sz="8" w:space="0" w:color="000000"/>
              <w:right w:val="single" w:sz="8" w:space="0" w:color="000000"/>
            </w:tcBorders>
            <w:shd w:val="clear" w:color="auto" w:fill="auto"/>
            <w:tcMar>
              <w:top w:w="0" w:type="dxa"/>
              <w:left w:w="100" w:type="dxa"/>
              <w:bottom w:w="0" w:type="dxa"/>
              <w:right w:w="100" w:type="dxa"/>
            </w:tcMar>
          </w:tcPr>
          <w:p>
            <w:pPr>
              <w:spacing w:after="0" w:line="276" w:lineRule="auto"/>
              <w:ind w:left="67" w:right="-40"/>
              <w:jc w:val="both"/>
              <w:rPr>
                <w:rFonts w:ascii="Arial Narrow" w:eastAsia="Tahoma" w:hAnsi="Arial Narrow" w:cs="Tahoma"/>
                <w:lang w:val="pl" w:eastAsia="pl-PL"/>
              </w:rPr>
            </w:pPr>
            <w:r>
              <w:rPr>
                <w:rFonts w:ascii="Arial Narrow" w:eastAsia="Tahoma" w:hAnsi="Arial Narrow" w:cs="Tahoma"/>
                <w:lang w:val="pl" w:eastAsia="pl-PL"/>
              </w:rPr>
              <w:t>Spójność planowanych zakupów z rodzajem działalności i stopień, w jakim zaplanowane zakupy umożliwiają kompleksową realizację przedsięwzięcia (niezbędność i racjonalność finansowa zakupów towarów lub usług ze środków przyznanych PS/PES przy uwzględnieniu ich parametrów technicznych lub jakościowych).</w:t>
            </w:r>
          </w:p>
        </w:tc>
        <w:tc>
          <w:tcPr>
            <w:tcW w:w="1276" w:type="dxa"/>
            <w:tcBorders>
              <w:bottom w:val="single" w:sz="8" w:space="0" w:color="000000"/>
              <w:right w:val="single" w:sz="8" w:space="0" w:color="000000"/>
            </w:tcBorders>
            <w:shd w:val="clear" w:color="auto" w:fill="auto"/>
            <w:tcMar>
              <w:top w:w="0" w:type="dxa"/>
              <w:left w:w="100" w:type="dxa"/>
              <w:bottom w:w="0" w:type="dxa"/>
              <w:right w:w="100" w:type="dxa"/>
            </w:tcMar>
          </w:tcPr>
          <w:p>
            <w:p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10</w:t>
            </w:r>
          </w:p>
        </w:tc>
      </w:tr>
      <w:tr>
        <w:trPr>
          <w:trHeight w:val="227"/>
        </w:trPr>
        <w:tc>
          <w:tcPr>
            <w:tcW w:w="567" w:type="dxa"/>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p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2.</w:t>
            </w:r>
          </w:p>
        </w:tc>
        <w:tc>
          <w:tcPr>
            <w:tcW w:w="6986" w:type="dxa"/>
            <w:tcBorders>
              <w:bottom w:val="single" w:sz="8" w:space="0" w:color="000000"/>
              <w:right w:val="single" w:sz="8" w:space="0" w:color="000000"/>
            </w:tcBorders>
            <w:shd w:val="clear" w:color="auto" w:fill="auto"/>
            <w:tcMar>
              <w:top w:w="0" w:type="dxa"/>
              <w:left w:w="100" w:type="dxa"/>
              <w:bottom w:w="0" w:type="dxa"/>
              <w:right w:w="100" w:type="dxa"/>
            </w:tcMar>
          </w:tcPr>
          <w:p>
            <w:pPr>
              <w:spacing w:after="0" w:line="360" w:lineRule="auto"/>
              <w:ind w:left="67" w:right="-40"/>
              <w:jc w:val="both"/>
              <w:rPr>
                <w:rFonts w:ascii="Arial Narrow" w:eastAsia="Tahoma" w:hAnsi="Arial Narrow" w:cs="Tahoma"/>
                <w:lang w:val="pl" w:eastAsia="pl-PL"/>
              </w:rPr>
            </w:pPr>
            <w:r>
              <w:rPr>
                <w:rFonts w:ascii="Arial Narrow" w:eastAsia="Tahoma" w:hAnsi="Arial Narrow" w:cs="Tahoma"/>
                <w:lang w:val="pl" w:eastAsia="pl-PL"/>
              </w:rPr>
              <w:t>Proponowane źródła finansowania dają gwarancję realizacji biznesplanu.</w:t>
            </w:r>
          </w:p>
        </w:tc>
        <w:tc>
          <w:tcPr>
            <w:tcW w:w="1276" w:type="dxa"/>
            <w:tcBorders>
              <w:bottom w:val="single" w:sz="8" w:space="0" w:color="000000"/>
              <w:right w:val="single" w:sz="8" w:space="0" w:color="000000"/>
            </w:tcBorders>
            <w:shd w:val="clear" w:color="auto" w:fill="auto"/>
            <w:tcMar>
              <w:top w:w="0" w:type="dxa"/>
              <w:left w:w="100" w:type="dxa"/>
              <w:bottom w:w="0" w:type="dxa"/>
              <w:right w:w="100" w:type="dxa"/>
            </w:tcMar>
          </w:tcPr>
          <w:p>
            <w:p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5</w:t>
            </w:r>
          </w:p>
        </w:tc>
      </w:tr>
      <w:tr>
        <w:trPr>
          <w:trHeight w:val="1256"/>
        </w:trPr>
        <w:tc>
          <w:tcPr>
            <w:tcW w:w="7553" w:type="dxa"/>
            <w:gridSpan w:val="2"/>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pPr>
              <w:spacing w:after="0" w:line="276" w:lineRule="auto"/>
              <w:ind w:left="32" w:right="-40"/>
              <w:jc w:val="both"/>
              <w:rPr>
                <w:rFonts w:ascii="Arial Narrow" w:eastAsia="Tahoma" w:hAnsi="Arial Narrow" w:cs="Tahoma"/>
                <w:b/>
                <w:lang w:val="pl" w:eastAsia="pl-PL"/>
              </w:rPr>
            </w:pPr>
            <w:r>
              <w:rPr>
                <w:rFonts w:ascii="Arial Narrow" w:eastAsia="Tahoma" w:hAnsi="Arial Narrow" w:cs="Tahoma"/>
                <w:b/>
                <w:lang w:val="pl" w:eastAsia="pl-PL"/>
              </w:rPr>
              <w:lastRenderedPageBreak/>
              <w:t xml:space="preserve">V. </w:t>
            </w:r>
            <w:proofErr w:type="spellStart"/>
            <w:r>
              <w:rPr>
                <w:rFonts w:ascii="Arial Narrow" w:eastAsia="Tahoma" w:hAnsi="Arial Narrow" w:cs="Tahoma"/>
                <w:b/>
                <w:lang w:val="pl" w:eastAsia="pl-PL"/>
              </w:rPr>
              <w:t>Wielowariantowość</w:t>
            </w:r>
            <w:proofErr w:type="spellEnd"/>
          </w:p>
          <w:p>
            <w:pPr>
              <w:spacing w:after="0" w:line="276" w:lineRule="auto"/>
              <w:ind w:left="32" w:right="-40"/>
              <w:jc w:val="both"/>
              <w:rPr>
                <w:rFonts w:ascii="Arial Narrow" w:eastAsia="Tahoma" w:hAnsi="Arial Narrow" w:cs="Tahoma"/>
                <w:lang w:val="pl" w:eastAsia="pl-PL"/>
              </w:rPr>
            </w:pPr>
            <w:r>
              <w:rPr>
                <w:rFonts w:ascii="Arial Narrow" w:eastAsia="Tahoma" w:hAnsi="Arial Narrow" w:cs="Tahoma"/>
                <w:lang w:val="pl" w:eastAsia="pl-PL"/>
              </w:rPr>
              <w:t>(możliwość rozszerzenia działalności lub zmiany jej profilu w koniecznych przypadkach, elastyczność oferowanych usług oraz możliwość dostosowania ich świadczenia do potrzeb zgłaszanych przez rynek)</w:t>
            </w:r>
          </w:p>
        </w:tc>
        <w:tc>
          <w:tcPr>
            <w:tcW w:w="1276" w:type="dxa"/>
            <w:tcBorders>
              <w:bottom w:val="single" w:sz="8" w:space="0" w:color="000000"/>
              <w:right w:val="single" w:sz="8" w:space="0" w:color="000000"/>
            </w:tcBorders>
            <w:shd w:val="clear" w:color="auto" w:fill="auto"/>
            <w:tcMar>
              <w:top w:w="0" w:type="dxa"/>
              <w:left w:w="100" w:type="dxa"/>
              <w:bottom w:w="0" w:type="dxa"/>
              <w:right w:w="100" w:type="dxa"/>
            </w:tcMar>
          </w:tcPr>
          <w:p>
            <w:p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8</w:t>
            </w:r>
          </w:p>
        </w:tc>
      </w:tr>
      <w:tr>
        <w:trPr>
          <w:trHeight w:val="680"/>
        </w:trPr>
        <w:tc>
          <w:tcPr>
            <w:tcW w:w="7553" w:type="dxa"/>
            <w:gridSpan w:val="2"/>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pPr>
              <w:spacing w:after="0" w:line="276" w:lineRule="auto"/>
              <w:ind w:left="32" w:right="-40"/>
              <w:jc w:val="both"/>
              <w:rPr>
                <w:rFonts w:ascii="Arial Narrow" w:eastAsia="Tahoma" w:hAnsi="Arial Narrow" w:cs="Tahoma"/>
                <w:b/>
                <w:lang w:val="pl" w:eastAsia="pl-PL"/>
              </w:rPr>
            </w:pPr>
            <w:r>
              <w:rPr>
                <w:rFonts w:ascii="Arial Narrow" w:eastAsia="Tahoma" w:hAnsi="Arial Narrow" w:cs="Tahoma"/>
                <w:b/>
                <w:lang w:val="pl" w:eastAsia="pl-PL"/>
              </w:rPr>
              <w:t xml:space="preserve">VI. Trwałość </w:t>
            </w:r>
            <w:proofErr w:type="spellStart"/>
            <w:r>
              <w:rPr>
                <w:rFonts w:ascii="Arial Narrow" w:eastAsia="Tahoma" w:hAnsi="Arial Narrow" w:cs="Tahoma"/>
                <w:b/>
                <w:lang w:val="pl" w:eastAsia="pl-PL"/>
              </w:rPr>
              <w:t>ekonomiczno</w:t>
            </w:r>
            <w:proofErr w:type="spellEnd"/>
            <w:r>
              <w:rPr>
                <w:rFonts w:ascii="Arial Narrow" w:eastAsia="Tahoma" w:hAnsi="Arial Narrow" w:cs="Tahoma"/>
                <w:b/>
                <w:lang w:val="pl" w:eastAsia="pl-PL"/>
              </w:rPr>
              <w:t xml:space="preserve"> – finansowa przedsięwzięcia</w:t>
            </w:r>
          </w:p>
          <w:p>
            <w:pPr>
              <w:spacing w:after="0" w:line="276" w:lineRule="auto"/>
              <w:ind w:left="32" w:right="-40"/>
              <w:jc w:val="both"/>
              <w:rPr>
                <w:rFonts w:ascii="Arial Narrow" w:eastAsia="Tahoma" w:hAnsi="Arial Narrow" w:cs="Tahoma"/>
                <w:lang w:val="pl" w:eastAsia="pl-PL"/>
              </w:rPr>
            </w:pPr>
            <w:r>
              <w:rPr>
                <w:rFonts w:ascii="Arial Narrow" w:eastAsia="Tahoma" w:hAnsi="Arial Narrow" w:cs="Tahoma"/>
                <w:lang w:val="pl" w:eastAsia="pl-PL"/>
              </w:rPr>
              <w:t>(ocena szans przetrwania i rozwoju PS w odniesieniu do realizowanego przedsięwzięcia)</w:t>
            </w:r>
          </w:p>
        </w:tc>
        <w:tc>
          <w:tcPr>
            <w:tcW w:w="1276" w:type="dxa"/>
            <w:tcBorders>
              <w:bottom w:val="single" w:sz="8" w:space="0" w:color="000000"/>
              <w:right w:val="single" w:sz="8" w:space="0" w:color="000000"/>
            </w:tcBorders>
            <w:shd w:val="clear" w:color="auto" w:fill="auto"/>
            <w:tcMar>
              <w:top w:w="0" w:type="dxa"/>
              <w:left w:w="100" w:type="dxa"/>
              <w:bottom w:w="0" w:type="dxa"/>
              <w:right w:w="100" w:type="dxa"/>
            </w:tcMar>
          </w:tcPr>
          <w:p>
            <w:p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10</w:t>
            </w:r>
          </w:p>
        </w:tc>
      </w:tr>
      <w:tr>
        <w:trPr>
          <w:trHeight w:val="454"/>
        </w:trPr>
        <w:tc>
          <w:tcPr>
            <w:tcW w:w="7553" w:type="dxa"/>
            <w:gridSpan w:val="2"/>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pPr>
              <w:spacing w:after="0" w:line="360" w:lineRule="auto"/>
              <w:ind w:left="32" w:right="-40"/>
              <w:jc w:val="both"/>
              <w:rPr>
                <w:rFonts w:ascii="Arial Narrow" w:eastAsia="Tahoma" w:hAnsi="Arial Narrow" w:cs="Tahoma"/>
                <w:b/>
                <w:lang w:val="pl" w:eastAsia="pl-PL"/>
              </w:rPr>
            </w:pPr>
            <w:r>
              <w:rPr>
                <w:rFonts w:ascii="Arial Narrow" w:eastAsia="Tahoma" w:hAnsi="Arial Narrow" w:cs="Tahoma"/>
                <w:b/>
                <w:lang w:val="pl" w:eastAsia="pl-PL"/>
              </w:rPr>
              <w:t>VII. Kompletność, przejrzystość, prostota, zrozumiałość założeń</w:t>
            </w:r>
          </w:p>
        </w:tc>
        <w:tc>
          <w:tcPr>
            <w:tcW w:w="1276" w:type="dxa"/>
            <w:tcBorders>
              <w:bottom w:val="single" w:sz="8" w:space="0" w:color="000000"/>
              <w:right w:val="single" w:sz="8" w:space="0" w:color="000000"/>
            </w:tcBorders>
            <w:shd w:val="clear" w:color="auto" w:fill="auto"/>
            <w:tcMar>
              <w:top w:w="0" w:type="dxa"/>
              <w:left w:w="100" w:type="dxa"/>
              <w:bottom w:w="0" w:type="dxa"/>
              <w:right w:w="100" w:type="dxa"/>
            </w:tcMar>
          </w:tcPr>
          <w:p>
            <w:p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7</w:t>
            </w:r>
          </w:p>
        </w:tc>
      </w:tr>
      <w:tr>
        <w:trPr>
          <w:trHeight w:val="454"/>
        </w:trPr>
        <w:tc>
          <w:tcPr>
            <w:tcW w:w="7553" w:type="dxa"/>
            <w:gridSpan w:val="2"/>
            <w:tcBorders>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pPr>
              <w:spacing w:after="0" w:line="360" w:lineRule="auto"/>
              <w:ind w:left="360" w:right="-40"/>
              <w:jc w:val="both"/>
              <w:rPr>
                <w:rFonts w:ascii="Arial Narrow" w:eastAsia="Tahoma" w:hAnsi="Arial Narrow" w:cs="Tahoma"/>
                <w:lang w:val="pl" w:eastAsia="pl-PL"/>
              </w:rPr>
            </w:pPr>
            <w:r>
              <w:rPr>
                <w:rFonts w:ascii="Arial Narrow" w:eastAsia="Tahoma" w:hAnsi="Arial Narrow" w:cs="Tahoma"/>
                <w:lang w:val="pl" w:eastAsia="pl-PL"/>
              </w:rPr>
              <w:t xml:space="preserve"> </w:t>
            </w:r>
          </w:p>
        </w:tc>
        <w:tc>
          <w:tcPr>
            <w:tcW w:w="1276" w:type="dxa"/>
            <w:tcBorders>
              <w:bottom w:val="single" w:sz="8" w:space="0" w:color="000000"/>
              <w:right w:val="single" w:sz="8" w:space="0" w:color="000000"/>
            </w:tcBorders>
            <w:shd w:val="clear" w:color="auto" w:fill="auto"/>
            <w:tcMar>
              <w:top w:w="0" w:type="dxa"/>
              <w:left w:w="100" w:type="dxa"/>
              <w:bottom w:w="0" w:type="dxa"/>
              <w:right w:w="100" w:type="dxa"/>
            </w:tcMar>
          </w:tcPr>
          <w:p>
            <w:p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100</w:t>
            </w:r>
          </w:p>
        </w:tc>
      </w:tr>
    </w:tbl>
    <w:p>
      <w:pPr>
        <w:spacing w:after="0" w:line="360" w:lineRule="auto"/>
        <w:ind w:right="-40"/>
        <w:jc w:val="both"/>
        <w:rPr>
          <w:rFonts w:ascii="Arial Narrow" w:eastAsia="Tahoma" w:hAnsi="Arial Narrow" w:cs="Tahoma"/>
          <w:lang w:val="pl" w:eastAsia="pl-PL"/>
        </w:rPr>
      </w:pPr>
    </w:p>
    <w:p>
      <w:pPr>
        <w:numPr>
          <w:ilvl w:val="0"/>
          <w:numId w:val="14"/>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Operator może przewidzieć w ramach posiedzenia KOW wystąpienia Wnioskodawców, podczas których zaprezentują oni główne założenia dot. uruchomienia bądź rozwoju PS oraz odpowiedzą na pytania ze strony członków KOW. Wystąpienia Wnioskodawców powinny być syntetyczne i rzeczowe, stanowiąc uzupełnienie lub rozwinięcie zapisów biznesplanu. Wystąpienia nie są oddzielnie punktowane na karcie oceny merytorycznej wniosku.</w:t>
      </w:r>
    </w:p>
    <w:p>
      <w:pPr>
        <w:numPr>
          <w:ilvl w:val="0"/>
          <w:numId w:val="14"/>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Każdy wniosek w ramach oceny merytorycznej może otrzymać maksymalnie 100 punktów (średnia z ocen dwóch ekspertów).</w:t>
      </w:r>
    </w:p>
    <w:p>
      <w:pPr>
        <w:numPr>
          <w:ilvl w:val="0"/>
          <w:numId w:val="14"/>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W przypadku, rozbieżności sięgających co najmniej 30 punktów pomiędzy ocenami dwóch członków KOW (przy czym ocena przynajmniej jednego z nich musi wynosić minimum 60 punktów), wniosek poddawany jest dodatkowej ocenie, którą przeprowadza trzeci oceniający. W takiej sytuacji ostateczną oceną jest średnia arytmetyczna z oceny trzeciego oceniającego oraz z tej oceny jednego z dwóch oceniających, która jest liczbowo bliższa ocenie trzeciego oceniającego.</w:t>
      </w:r>
    </w:p>
    <w:p>
      <w:pPr>
        <w:numPr>
          <w:ilvl w:val="0"/>
          <w:numId w:val="14"/>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W przypadku stwierdzenia na etapie oceny merytorycznej ewidentnych błędów w treści wniosku, utrudniających oceniającym właściwe zrozumienie intencji Wnioskodawcy (błędy rachunkowe, oczywiste pomyłki, zapisy powodujące rozbieżne interpretacje) dopuszcza się możliwość korekty wniosku. Korekta może obejmować wyłącznie elementy wniosku wskazane przez oceniających. Członkowie KOW, którzy oceniali dany  wniosek, wypracowują w tym przypadku wspólne stanowisko i zapisują ustalenia w karcie oceny merytorycznej. Następnie ustalenia te są przekazywane Wnioskodawcy w formie wezwania do dokonania stosownej korekty w treści wniosku o udzielenie wsparcia finansowego, pod rygorem jego odrzucenia</w:t>
      </w:r>
      <w:r>
        <w:rPr>
          <w:rFonts w:ascii="Arial Narrow" w:eastAsia="Tahoma" w:hAnsi="Arial Narrow" w:cs="Tahoma"/>
          <w:vertAlign w:val="superscript"/>
          <w:lang w:val="pl" w:eastAsia="pl-PL"/>
        </w:rPr>
        <w:footnoteReference w:id="10"/>
      </w:r>
      <w:r>
        <w:rPr>
          <w:rFonts w:ascii="Arial Narrow" w:eastAsia="Tahoma" w:hAnsi="Arial Narrow" w:cs="Tahoma"/>
          <w:lang w:val="pl" w:eastAsia="pl-PL"/>
        </w:rPr>
        <w:t>. Informację na temat dopuszczonej korekty wniosku zamieszcza się w protokole z posiedzenia KOW.</w:t>
      </w:r>
    </w:p>
    <w:p>
      <w:pPr>
        <w:numPr>
          <w:ilvl w:val="0"/>
          <w:numId w:val="14"/>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Po przeprowadzeniu oceny KOW sporządza listę wniosków uszeregowanych w kolejności od największej liczby uzyskanych punktów i wskazuje wnioski, które są rekomendowane do otrzymania dofinansowania (wnioski, które otrzymały co najmniej 60% punktów, tj. 60 pkt. ogółem, zaś w poszczególnych punktach oceny </w:t>
      </w:r>
      <w:r>
        <w:rPr>
          <w:rFonts w:ascii="Arial Narrow" w:eastAsia="Tahoma" w:hAnsi="Arial Narrow" w:cs="Tahoma"/>
          <w:lang w:val="pl" w:eastAsia="pl-PL"/>
        </w:rPr>
        <w:lastRenderedPageBreak/>
        <w:t xml:space="preserve">merytorycznej uzyskały przynajmniej 60% punktów) w ramach środków przewidzianych na utworzenie </w:t>
      </w:r>
      <w:r>
        <w:rPr>
          <w:rFonts w:ascii="Arial Narrow" w:eastAsia="Tahoma" w:hAnsi="Arial Narrow" w:cs="Tahoma"/>
          <w:lang w:val="pl" w:eastAsia="pl-PL"/>
        </w:rPr>
        <w:br/>
        <w:t xml:space="preserve"> utrzymanie miejsc pracy. Informacja o wynikach oceny merytorycznej z podaniem m.in. numeru wniosku, liczby punktów – tzw. „lista rankingowa” – zostanie umieszczona na stronie internetowej projektu w terminie 3 dni roboczych od dnia zakończenia oceny merytorycznej. </w:t>
      </w:r>
    </w:p>
    <w:p>
      <w:pPr>
        <w:numPr>
          <w:ilvl w:val="0"/>
          <w:numId w:val="14"/>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O rekomendacji do przyznania dofinansowania decyduje pozycja (liczba punktów), jaką dany wniosek uzyska na liście rankingowej (niezbędnym warunkiem jest spełnienie minimum punktowego) oraz pula środków, jaką Operator dysponuje na ten cel</w:t>
      </w:r>
      <w:r>
        <w:rPr>
          <w:rFonts w:ascii="Arial Narrow" w:eastAsia="Tahoma" w:hAnsi="Arial Narrow" w:cs="Tahoma"/>
          <w:vertAlign w:val="superscript"/>
          <w:lang w:val="pl" w:eastAsia="pl-PL"/>
        </w:rPr>
        <w:footnoteReference w:id="11"/>
      </w:r>
      <w:r>
        <w:rPr>
          <w:rFonts w:ascii="Arial Narrow" w:eastAsia="Tahoma" w:hAnsi="Arial Narrow" w:cs="Tahoma"/>
          <w:lang w:val="pl" w:eastAsia="pl-PL"/>
        </w:rPr>
        <w:t>. W sytuacji, gdy wnioski z listy rankingowej nie wyczerpią puli środków przewidzianych na wsparcie w danej rundzie konkursowej, środki zostają przeniesione na kolejne rundy konkursowe.</w:t>
      </w:r>
    </w:p>
    <w:p>
      <w:pPr>
        <w:numPr>
          <w:ilvl w:val="0"/>
          <w:numId w:val="14"/>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W uzasadnionych przypadkach KOW może zarekomendować przyznanie Wnioskodawcy, którego wniosek o wsparcie finansowe został oceniony pozytywnie pod względem merytorycznym (tj. otrzymał co najmniej 60% punktów ogółem oraz przynajmniej 60% punktów w poszczególnych głównych kryteriach oceny merytorycznej), mniejszej liczby stawek jednostkowych na utworzenie i utrzymanie miejsc pracy niż wnioskowana. KOW może również rekomendować inny niż założony we wniosku rozkład etatów. Decyzja ta powinna zostać odnotowana w protokole, zaś jej uzasadnienie powinno się znaleźć w kartach oceny merytorycznej wniosku.</w:t>
      </w:r>
    </w:p>
    <w:p>
      <w:pPr>
        <w:numPr>
          <w:ilvl w:val="0"/>
          <w:numId w:val="14"/>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W sytuacji opisanej w ustępie poprzednim, Wnioskodawca może propozycję KOW:</w:t>
      </w:r>
    </w:p>
    <w:p>
      <w:pPr>
        <w:numPr>
          <w:ilvl w:val="1"/>
          <w:numId w:val="2"/>
        </w:numPr>
        <w:spacing w:after="0" w:line="360" w:lineRule="auto"/>
        <w:ind w:right="-40"/>
        <w:contextualSpacing/>
        <w:jc w:val="both"/>
        <w:rPr>
          <w:rFonts w:ascii="Arial Narrow" w:eastAsia="Tahoma" w:hAnsi="Arial Narrow" w:cs="Tahoma"/>
          <w:lang w:val="pl" w:eastAsia="pl-PL"/>
        </w:rPr>
      </w:pPr>
      <w:r>
        <w:rPr>
          <w:rFonts w:ascii="Arial Narrow" w:eastAsia="Tahoma" w:hAnsi="Arial Narrow" w:cs="Tahoma"/>
          <w:lang w:val="pl" w:eastAsia="pl-PL"/>
        </w:rPr>
        <w:t>przyjąć, a wtedy zobligowany jest złożyć wniosek o wsparcie poprawiony zgodnie z rekomendacjami; wniosek ten nie podlega ponownej ocenie przez KOW, natomiast jest weryfikowany przez pracownika Operatora pod względem poprawności wprowadzonych zmian;</w:t>
      </w:r>
    </w:p>
    <w:p>
      <w:pPr>
        <w:numPr>
          <w:ilvl w:val="1"/>
          <w:numId w:val="2"/>
        </w:numPr>
        <w:spacing w:after="0" w:line="360" w:lineRule="auto"/>
        <w:ind w:right="-40"/>
        <w:contextualSpacing/>
        <w:jc w:val="both"/>
        <w:rPr>
          <w:rFonts w:ascii="Arial Narrow" w:eastAsia="Tahoma" w:hAnsi="Arial Narrow" w:cs="Tahoma"/>
          <w:lang w:val="pl" w:eastAsia="pl-PL"/>
        </w:rPr>
      </w:pPr>
      <w:r>
        <w:rPr>
          <w:rFonts w:ascii="Arial Narrow" w:eastAsia="Tahoma" w:hAnsi="Arial Narrow" w:cs="Tahoma"/>
          <w:lang w:val="pl" w:eastAsia="pl-PL"/>
        </w:rPr>
        <w:t>odrzucić, co oznacza brak dofinansowania wniosku o wsparcie – w takim przypadku stosuje się odpowiednio przepisy ust. 27.</w:t>
      </w:r>
    </w:p>
    <w:p>
      <w:pPr>
        <w:numPr>
          <w:ilvl w:val="0"/>
          <w:numId w:val="38"/>
        </w:numPr>
        <w:spacing w:after="0" w:line="360" w:lineRule="auto"/>
        <w:ind w:left="360" w:right="-40"/>
        <w:jc w:val="both"/>
        <w:rPr>
          <w:rFonts w:ascii="Arial Narrow" w:eastAsia="Tahoma" w:hAnsi="Arial Narrow" w:cs="Tahoma"/>
          <w:lang w:val="pl" w:eastAsia="pl-PL"/>
        </w:rPr>
      </w:pPr>
      <w:r>
        <w:rPr>
          <w:rFonts w:ascii="Arial Narrow" w:eastAsia="Tahoma" w:hAnsi="Arial Narrow" w:cs="Tahoma"/>
          <w:lang w:val="pl" w:eastAsia="pl-PL"/>
        </w:rPr>
        <w:t>Ostateczną decyzję o przyznaniu dofinansowania podejmuje KOW lub Zarząd Operatora na podstawie listy rankingowej przedstawionej przez KOW. Od tej decyzji nie przysługuje odwołanie.</w:t>
      </w:r>
    </w:p>
    <w:p>
      <w:pPr>
        <w:numPr>
          <w:ilvl w:val="0"/>
          <w:numId w:val="38"/>
        </w:numPr>
        <w:spacing w:after="0" w:line="360" w:lineRule="auto"/>
        <w:ind w:left="360" w:right="-40"/>
        <w:jc w:val="both"/>
        <w:rPr>
          <w:rFonts w:ascii="Arial Narrow" w:eastAsia="Tahoma" w:hAnsi="Arial Narrow" w:cs="Tahoma"/>
          <w:lang w:val="pl" w:eastAsia="pl-PL"/>
        </w:rPr>
      </w:pPr>
      <w:r>
        <w:rPr>
          <w:rFonts w:ascii="Arial Narrow" w:eastAsia="Tahoma" w:hAnsi="Arial Narrow" w:cs="Tahoma"/>
          <w:lang w:val="pl" w:eastAsia="pl-PL"/>
        </w:rPr>
        <w:t xml:space="preserve">Operator ma każdorazowo obowiązek poinformowania Wnioskodawcy o wyniku oceny merytorycznej złożonego przez niego wniosku o przyznanie wsparcia na utworzenie i utrzymanie miejsca pracy, </w:t>
      </w:r>
      <w:r>
        <w:rPr>
          <w:rFonts w:ascii="Arial Narrow" w:eastAsia="Tahoma" w:hAnsi="Arial Narrow" w:cs="Tahoma"/>
          <w:lang w:val="pl" w:eastAsia="pl-PL"/>
        </w:rPr>
        <w:br/>
        <w:t xml:space="preserve">a w przypadku oceny negatywnej również do szczegółowego uzasadnienia otrzymanej oceny, w terminie 7 dni roboczych od dnia opublikowania listy rankingowej na adres e-mail wskazany we wniosku lub pisemnie. </w:t>
      </w:r>
    </w:p>
    <w:p>
      <w:pPr>
        <w:numPr>
          <w:ilvl w:val="0"/>
          <w:numId w:val="38"/>
        </w:numPr>
        <w:spacing w:after="0" w:line="360" w:lineRule="auto"/>
        <w:ind w:left="360" w:right="-40"/>
        <w:jc w:val="both"/>
        <w:rPr>
          <w:rFonts w:ascii="Arial Narrow" w:eastAsia="Tahoma" w:hAnsi="Arial Narrow" w:cs="Tahoma"/>
          <w:lang w:val="pl" w:eastAsia="pl-PL"/>
        </w:rPr>
      </w:pPr>
      <w:r>
        <w:rPr>
          <w:rFonts w:ascii="Arial Narrow" w:eastAsia="Tahoma" w:hAnsi="Arial Narrow" w:cs="Tahoma"/>
          <w:lang w:val="pl" w:eastAsia="pl-PL"/>
        </w:rPr>
        <w:t xml:space="preserve">Podmiot, który nie uzyskał minimum punktowego uprawniającego do uzyskania dofinansowania, ma możliwość jednokrotnego złożenia dokumentów w ramach kolejnej rundy konkursowej. W tej sytuacji Wnioskodawca może ubiegać się o wsparcie na utworzenie i utrzymanie miejsca pracy w kolejnym naborze wniosków o przyznanie wsparcia finansowego na zasadach obowiązujących w tym naborze. </w:t>
      </w:r>
    </w:p>
    <w:p>
      <w:pPr>
        <w:numPr>
          <w:ilvl w:val="0"/>
          <w:numId w:val="38"/>
        </w:numPr>
        <w:spacing w:after="0" w:line="360" w:lineRule="auto"/>
        <w:ind w:left="360" w:right="-40"/>
        <w:jc w:val="both"/>
        <w:rPr>
          <w:rFonts w:ascii="Arial Narrow" w:eastAsia="Tahoma" w:hAnsi="Arial Narrow" w:cs="Tahoma"/>
          <w:lang w:val="pl" w:eastAsia="pl-PL"/>
        </w:rPr>
      </w:pPr>
      <w:r>
        <w:rPr>
          <w:rFonts w:ascii="Arial Narrow" w:eastAsia="Tahoma" w:hAnsi="Arial Narrow" w:cs="Tahoma"/>
          <w:lang w:val="pl" w:eastAsia="pl-PL"/>
        </w:rPr>
        <w:lastRenderedPageBreak/>
        <w:t xml:space="preserve">W sytuacji opisanej w ustępie poprzednim, Wnioskodawca przystępujący ponownie do naboru nie jest zobligowany do ponownego uczestnictwa w procesie szkoleniowo-doradczym, przygotowującym do FPS, pod warunkiem zachowania pierwotnego modelu biznesowego planowanego PS oraz formy PS oraz składu osobowego Wnioskodawcy. W każdym innym przypadku Wnioskodawca musi ponownie uczestniczyć </w:t>
      </w:r>
      <w:r>
        <w:rPr>
          <w:rFonts w:ascii="Arial Narrow" w:eastAsia="Tahoma" w:hAnsi="Arial Narrow" w:cs="Tahoma"/>
          <w:lang w:val="pl" w:eastAsia="pl-PL"/>
        </w:rPr>
        <w:br/>
        <w:t>w procesie przygotowawczym zgodnie z zasadami wsparcia określonymi w Regulaminie.</w:t>
      </w:r>
    </w:p>
    <w:p>
      <w:pPr>
        <w:numPr>
          <w:ilvl w:val="0"/>
          <w:numId w:val="38"/>
        </w:numPr>
        <w:spacing w:after="0" w:line="360" w:lineRule="auto"/>
        <w:ind w:left="360" w:right="-40"/>
        <w:jc w:val="both"/>
        <w:rPr>
          <w:rFonts w:ascii="Arial Narrow" w:eastAsia="Tahoma" w:hAnsi="Arial Narrow" w:cs="Tahoma"/>
          <w:lang w:val="pl" w:eastAsia="pl-PL"/>
        </w:rPr>
      </w:pPr>
      <w:r>
        <w:rPr>
          <w:rFonts w:ascii="Arial Narrow" w:eastAsia="Tahoma" w:hAnsi="Arial Narrow" w:cs="Tahoma"/>
          <w:lang w:val="pl" w:eastAsia="pl-PL"/>
        </w:rPr>
        <w:t xml:space="preserve">Posiedzenia KOW mogą odbywać się w trybie stacjonarnym lub w trybie zdalnym za pomocą środków bezpośredniego porozumiewania się na odległość. </w:t>
      </w:r>
    </w:p>
    <w:p>
      <w:pPr>
        <w:numPr>
          <w:ilvl w:val="0"/>
          <w:numId w:val="38"/>
        </w:numPr>
        <w:spacing w:after="240" w:line="360" w:lineRule="auto"/>
        <w:ind w:left="360" w:right="-40"/>
        <w:jc w:val="both"/>
        <w:rPr>
          <w:rFonts w:ascii="Arial Narrow" w:eastAsia="Tahoma" w:hAnsi="Arial Narrow" w:cs="Tahoma"/>
          <w:highlight w:val="white"/>
          <w:lang w:val="pl" w:eastAsia="pl-PL"/>
        </w:rPr>
      </w:pPr>
      <w:r>
        <w:rPr>
          <w:rFonts w:ascii="Arial Narrow" w:eastAsia="Tahoma" w:hAnsi="Arial Narrow" w:cs="Tahoma"/>
          <w:highlight w:val="white"/>
          <w:lang w:val="pl" w:eastAsia="pl-PL"/>
        </w:rPr>
        <w:t xml:space="preserve">Z przeprowadzonych czynności KOW sporządza protokół. </w:t>
      </w:r>
      <w:r>
        <w:rPr>
          <w:rFonts w:ascii="Arial Narrow" w:eastAsia="Tahoma" w:hAnsi="Arial Narrow" w:cs="Tahoma"/>
          <w:lang w:val="pl" w:eastAsia="pl-PL"/>
        </w:rPr>
        <w:t>W przypadku posiedzenia zdalnego protokół podpisują tylko członkowie KOW obecni na miejscu.</w:t>
      </w:r>
    </w:p>
    <w:p>
      <w:pPr>
        <w:spacing w:after="0" w:line="276" w:lineRule="auto"/>
        <w:jc w:val="center"/>
        <w:rPr>
          <w:rFonts w:ascii="Arial Narrow" w:eastAsia="Arial" w:hAnsi="Arial Narrow" w:cs="Arial"/>
          <w:b/>
          <w:lang w:val="pl" w:eastAsia="pl-PL"/>
        </w:rPr>
      </w:pPr>
      <w:r>
        <w:rPr>
          <w:rFonts w:ascii="Arial Narrow" w:eastAsia="Arial" w:hAnsi="Arial Narrow" w:cs="Arial"/>
          <w:b/>
          <w:lang w:val="pl" w:eastAsia="pl-PL"/>
        </w:rPr>
        <w:t>§ 6</w:t>
      </w:r>
    </w:p>
    <w:p>
      <w:pPr>
        <w:keepNext/>
        <w:keepLines/>
        <w:spacing w:after="120" w:line="276" w:lineRule="auto"/>
        <w:jc w:val="center"/>
        <w:outlineLvl w:val="0"/>
        <w:rPr>
          <w:rFonts w:ascii="Arial Narrow" w:eastAsia="Arial" w:hAnsi="Arial Narrow" w:cs="Arial"/>
          <w:b/>
          <w:lang w:val="pl" w:eastAsia="pl-PL"/>
        </w:rPr>
      </w:pPr>
      <w:bookmarkStart w:id="13" w:name="_3dy6vkm" w:colFirst="0" w:colLast="0"/>
      <w:bookmarkStart w:id="14" w:name="_Toc175735244"/>
      <w:bookmarkEnd w:id="13"/>
      <w:r>
        <w:rPr>
          <w:rFonts w:ascii="Arial Narrow" w:eastAsia="Arial" w:hAnsi="Arial Narrow" w:cs="Arial"/>
          <w:b/>
          <w:lang w:val="pl" w:eastAsia="pl-PL"/>
        </w:rPr>
        <w:t>Podpisanie umowy o wsparcie finansowe</w:t>
      </w:r>
      <w:bookmarkEnd w:id="14"/>
    </w:p>
    <w:p>
      <w:pPr>
        <w:numPr>
          <w:ilvl w:val="0"/>
          <w:numId w:val="25"/>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Umowa o udzielenie wsparcia finansowego na utworzenie i utrzymanie miejsca pracy (zwana dalej Umową) może zostać podpisana wyłącznie z podmiotem posiadającym osobowość prawną. GI składająca się z osób fizycznych lub osób prawnych zamierzających utworzyć nowe PS, która otrzymała decyzję o przyznaniu wsparcia finansowego na utworzenie i utrzymanie miejsc pracy, musi zarejestrować nowy PES w Krajowym Rejestrze Sądowym, innej ewidencji lub innym rejestrze - stroną Umowy będzie ten podmiot, nie zaś przedstawiciele GI.</w:t>
      </w:r>
    </w:p>
    <w:p>
      <w:pPr>
        <w:numPr>
          <w:ilvl w:val="0"/>
          <w:numId w:val="25"/>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Nie później niż w ciągu 7 dni roboczych od rozstrzygnięcia konkursu na udzielenie wsparcia finansowego, Operator przekazuje Wnioskodawcom, których wnioski zostały wybrane do dofinansowania w danej rundzie konkursowej, informację o wyniku oceny merytorycznej oraz wskazuje dokumenty, które każdy z tych podmiotów winien przedłożyć w celu przygotowania i zawarcia Umowy. </w:t>
      </w:r>
    </w:p>
    <w:p>
      <w:pPr>
        <w:numPr>
          <w:ilvl w:val="0"/>
          <w:numId w:val="25"/>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Dokumentami niezbędnymi na etapie sporządzania i podpisania Umowy są w szczególności:</w:t>
      </w:r>
    </w:p>
    <w:p>
      <w:pPr>
        <w:pStyle w:val="Akapitzlist"/>
        <w:numPr>
          <w:ilvl w:val="0"/>
          <w:numId w:val="40"/>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aktualny dokument potwierdzający rejestrację PES w Krajowym Rejestrze Sądowym (dopuszczalny jest wydruk ze strony </w:t>
      </w:r>
      <w:r>
        <w:rPr>
          <w:rFonts w:ascii="Arial Narrow" w:eastAsia="Arial" w:hAnsi="Arial Narrow" w:cs="Arial"/>
          <w:lang w:val="pl" w:eastAsia="pl-PL"/>
        </w:rPr>
        <w:t>https://wyszukiwarka-krs.ms.gov.pl/</w:t>
      </w:r>
      <w:r>
        <w:rPr>
          <w:rFonts w:ascii="Arial Narrow" w:eastAsia="Tahoma" w:hAnsi="Arial Narrow" w:cs="Tahoma"/>
          <w:lang w:val="pl" w:eastAsia="pl-PL"/>
        </w:rPr>
        <w:t>), innej ewidencji lub innym rejestrze,</w:t>
      </w:r>
    </w:p>
    <w:p>
      <w:pPr>
        <w:numPr>
          <w:ilvl w:val="0"/>
          <w:numId w:val="40"/>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aktualny statut PES/PS lub inny dokument założycielski,</w:t>
      </w:r>
    </w:p>
    <w:p>
      <w:pPr>
        <w:numPr>
          <w:ilvl w:val="0"/>
          <w:numId w:val="40"/>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decyzja wojewody o nadaniu statusu przedsiębiorstwa społecznego (załącznik obowiązkowy dla istniejących PS, natomiast nowotworzone PS i PES przekształcające się w PS są zobowiązane do przedstawienia decyzji wojewody niezwłocznie po otrzymaniu statusu PS i nie później niż 6 miesięcy od dnia utworzenia pierwszego miejsca pracy), a na żądanie OWES również inny dokument potwierdzający posiadanie statusu PS (np. aktualne zaświadczenie wydane przez wojewodę),</w:t>
      </w:r>
    </w:p>
    <w:p>
      <w:pPr>
        <w:numPr>
          <w:ilvl w:val="0"/>
          <w:numId w:val="40"/>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oświadczenia o wielkości otrzymanej dotychczas pomocy de </w:t>
      </w:r>
      <w:proofErr w:type="spellStart"/>
      <w:r>
        <w:rPr>
          <w:rFonts w:ascii="Arial Narrow" w:eastAsia="Tahoma" w:hAnsi="Arial Narrow" w:cs="Tahoma"/>
          <w:lang w:val="pl" w:eastAsia="pl-PL"/>
        </w:rPr>
        <w:t>minimis</w:t>
      </w:r>
      <w:proofErr w:type="spellEnd"/>
      <w:r>
        <w:rPr>
          <w:rFonts w:ascii="Arial Narrow" w:eastAsia="Tahoma" w:hAnsi="Arial Narrow" w:cs="Tahoma"/>
          <w:lang w:val="pl" w:eastAsia="pl-PL"/>
        </w:rPr>
        <w:t>,</w:t>
      </w:r>
    </w:p>
    <w:p>
      <w:pPr>
        <w:numPr>
          <w:ilvl w:val="0"/>
          <w:numId w:val="40"/>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formularz informacji przedstawianych przy ubieganiu się o pomoc de </w:t>
      </w:r>
      <w:proofErr w:type="spellStart"/>
      <w:r>
        <w:rPr>
          <w:rFonts w:ascii="Arial Narrow" w:eastAsia="Tahoma" w:hAnsi="Arial Narrow" w:cs="Tahoma"/>
          <w:lang w:val="pl" w:eastAsia="pl-PL"/>
        </w:rPr>
        <w:t>minimis</w:t>
      </w:r>
      <w:proofErr w:type="spellEnd"/>
      <w:r>
        <w:rPr>
          <w:rFonts w:ascii="Arial Narrow" w:eastAsia="Tahoma" w:hAnsi="Arial Narrow" w:cs="Tahoma"/>
          <w:lang w:val="pl" w:eastAsia="pl-PL"/>
        </w:rPr>
        <w:t xml:space="preserve">, </w:t>
      </w:r>
    </w:p>
    <w:p>
      <w:pPr>
        <w:numPr>
          <w:ilvl w:val="0"/>
          <w:numId w:val="40"/>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lastRenderedPageBreak/>
        <w:t xml:space="preserve">dokument potwierdzający numer rachunku bankowego, którego jedynym posiadaczem jest Odbiorca wsparcia, do przelewu wsparcia finansowego (np. kopia umowy z bankiem, zaświadczenie z banku </w:t>
      </w:r>
      <w:r>
        <w:rPr>
          <w:rFonts w:ascii="Arial Narrow" w:eastAsia="Tahoma" w:hAnsi="Arial Narrow" w:cs="Tahoma"/>
          <w:lang w:val="pl" w:eastAsia="pl-PL"/>
        </w:rPr>
        <w:br/>
        <w:t>o numerze rachunku),</w:t>
      </w:r>
    </w:p>
    <w:p>
      <w:pPr>
        <w:numPr>
          <w:ilvl w:val="0"/>
          <w:numId w:val="40"/>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aktualne zaświadczenie z Urzędu Skarbowego o niezaleganiu w podatkach wystawione nie wcześniej niż 30 dni przed dniem podpisania Umowy (nie dotyczy nowych PES utworzonych przez GI, o których mowa w ust. 1),</w:t>
      </w:r>
    </w:p>
    <w:p>
      <w:pPr>
        <w:numPr>
          <w:ilvl w:val="0"/>
          <w:numId w:val="40"/>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aktualne zaświadczenie z Zakładu Ubezpieczeń Społecznych o niezaleganiu w opłacaniu składek wystawione nie wcześniej niż 30 dni przed dniem podpisania Umowy (nie dotyczy nowych PES utworzonych przez GI, o których mowa w ust. 1),</w:t>
      </w:r>
    </w:p>
    <w:p>
      <w:pPr>
        <w:numPr>
          <w:ilvl w:val="0"/>
          <w:numId w:val="40"/>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dokument potwierdzający liczbę istniejących w PES/PS miejsc pracy – w zależności od sytuacji Wnioskodawcy może to być np.:</w:t>
      </w:r>
    </w:p>
    <w:p>
      <w:pPr>
        <w:numPr>
          <w:ilvl w:val="0"/>
          <w:numId w:val="39"/>
        </w:numPr>
        <w:spacing w:after="0" w:line="360" w:lineRule="auto"/>
        <w:ind w:right="-40"/>
        <w:contextualSpacing/>
        <w:rPr>
          <w:rFonts w:ascii="Arial Narrow" w:eastAsia="Tahoma" w:hAnsi="Arial Narrow" w:cs="Tahoma"/>
          <w:lang w:val="pl" w:eastAsia="pl-PL"/>
        </w:rPr>
      </w:pPr>
      <w:r>
        <w:rPr>
          <w:rFonts w:ascii="Arial Narrow" w:eastAsia="Tahoma" w:hAnsi="Arial Narrow" w:cs="Tahoma"/>
          <w:lang w:val="pl" w:eastAsia="pl-PL"/>
        </w:rPr>
        <w:t>w przypadku podmiotu będącego płatnikiem składek - ostatnio złożony imienny raport miesięczny o należnych składkach (ZUS RCA) albo wygenerowana poprzez PUE ZUS lista osób zgłoszonych do ubezpieczeń wraz z danymi ubezpieczonych (dokumenty powinny umożliwiać weryfikację tytułu ubezpieczenia każdej z osób zatrudnionych)</w:t>
      </w:r>
      <w:r>
        <w:rPr>
          <w:rFonts w:ascii="Arial Narrow" w:eastAsia="Arial" w:hAnsi="Arial Narrow" w:cs="Arial"/>
          <w:vertAlign w:val="superscript"/>
          <w:lang w:val="pl" w:eastAsia="pl-PL"/>
        </w:rPr>
        <w:t xml:space="preserve"> </w:t>
      </w:r>
      <w:r>
        <w:rPr>
          <w:rFonts w:ascii="Arial Narrow" w:eastAsia="Arial" w:hAnsi="Arial Narrow" w:cs="Arial"/>
          <w:vertAlign w:val="superscript"/>
          <w:lang w:val="pl" w:eastAsia="pl-PL"/>
        </w:rPr>
        <w:footnoteReference w:id="12"/>
      </w:r>
      <w:r>
        <w:rPr>
          <w:rFonts w:ascii="Arial Narrow" w:eastAsia="Tahoma" w:hAnsi="Arial Narrow" w:cs="Tahoma"/>
          <w:lang w:val="pl" w:eastAsia="pl-PL"/>
        </w:rPr>
        <w:t>;</w:t>
      </w:r>
    </w:p>
    <w:p>
      <w:pPr>
        <w:numPr>
          <w:ilvl w:val="0"/>
          <w:numId w:val="39"/>
        </w:numPr>
        <w:spacing w:after="0" w:line="360" w:lineRule="auto"/>
        <w:ind w:right="-40"/>
        <w:contextualSpacing/>
        <w:rPr>
          <w:rFonts w:ascii="Arial Narrow" w:eastAsia="Tahoma" w:hAnsi="Arial Narrow" w:cs="Tahoma"/>
          <w:lang w:val="pl" w:eastAsia="pl-PL"/>
        </w:rPr>
      </w:pPr>
      <w:r>
        <w:rPr>
          <w:rFonts w:ascii="Arial Narrow" w:eastAsia="Tahoma" w:hAnsi="Arial Narrow" w:cs="Tahoma"/>
          <w:lang w:val="pl" w:eastAsia="pl-PL"/>
        </w:rPr>
        <w:t>w przypadku podmiotu niebędącego płatnikiem składek, potwierdzeniem niezatrudniania pracowników może być dokument wymieniony w pkt. 8 lub inny np. zaświadczenie z ZUS, że podmiot nie jest płatnikiem składek ZUS;</w:t>
      </w:r>
    </w:p>
    <w:p>
      <w:pPr>
        <w:numPr>
          <w:ilvl w:val="0"/>
          <w:numId w:val="41"/>
        </w:numPr>
        <w:spacing w:after="0" w:line="360" w:lineRule="auto"/>
        <w:ind w:right="-40"/>
        <w:contextualSpacing/>
        <w:rPr>
          <w:rFonts w:ascii="Arial Narrow" w:eastAsia="Tahoma" w:hAnsi="Arial Narrow" w:cs="Tahoma"/>
          <w:lang w:val="pl" w:eastAsia="pl-PL"/>
        </w:rPr>
      </w:pPr>
      <w:r>
        <w:rPr>
          <w:rFonts w:ascii="Arial Narrow" w:eastAsia="Tahoma" w:hAnsi="Arial Narrow" w:cs="Tahoma"/>
          <w:lang w:val="pl" w:eastAsia="pl-PL"/>
        </w:rPr>
        <w:t>oświadczenie o braku podwójnego finansowania działań finansowanych z EFS+ ze środkami przeznaczonymi na wsparcie ekonomii społecznej w ramach KPO lub FERS - zgodnie z § 10 Regulaminu.</w:t>
      </w:r>
    </w:p>
    <w:p>
      <w:pPr>
        <w:numPr>
          <w:ilvl w:val="0"/>
          <w:numId w:val="42"/>
        </w:numPr>
        <w:spacing w:after="0" w:line="360" w:lineRule="auto"/>
        <w:ind w:right="-40"/>
        <w:contextualSpacing/>
        <w:rPr>
          <w:rFonts w:ascii="Arial Narrow" w:eastAsia="Tahoma" w:hAnsi="Arial Narrow" w:cs="Tahoma"/>
          <w:lang w:val="pl" w:eastAsia="pl-PL"/>
        </w:rPr>
      </w:pPr>
      <w:r>
        <w:rPr>
          <w:rFonts w:ascii="Arial Narrow" w:eastAsia="Tahoma" w:hAnsi="Arial Narrow" w:cs="Tahoma"/>
          <w:lang w:val="pl" w:eastAsia="pl-PL"/>
        </w:rPr>
        <w:t xml:space="preserve">Operator może wymagać przedłożenia innych niż wymienione w ust. 3 dokumentów wynikających </w:t>
      </w:r>
      <w:r>
        <w:rPr>
          <w:rFonts w:ascii="Arial Narrow" w:eastAsia="Tahoma" w:hAnsi="Arial Narrow" w:cs="Tahoma"/>
          <w:lang w:val="pl" w:eastAsia="pl-PL"/>
        </w:rPr>
        <w:br/>
        <w:t xml:space="preserve">z wniosków/rekomendacji KOW (np. zaktualizowany harmonogram rzeczowo-finansowy, ostateczna wersja biznesplanu) i/lub związanych ze specyfiką planowanego przedsięwzięcia (np. niezbędne pozwolenia, koncesje). </w:t>
      </w:r>
    </w:p>
    <w:p>
      <w:pPr>
        <w:numPr>
          <w:ilvl w:val="0"/>
          <w:numId w:val="43"/>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Operator po weryfikacji otrzymanych dokumentów może wezwać Wnioskodawcę do ich uzupełnienia, </w:t>
      </w:r>
      <w:r>
        <w:rPr>
          <w:rFonts w:ascii="Arial Narrow" w:eastAsia="Tahoma" w:hAnsi="Arial Narrow" w:cs="Tahoma"/>
          <w:lang w:val="pl" w:eastAsia="pl-PL"/>
        </w:rPr>
        <w:br/>
        <w:t>np. poprzez złożenie dodatkowych wyjaśnień. Każda zmiana stanu faktycznego wykazanego w przedłożonych przez PES/PS zaświadczeniach i oświadczeniach wymaga bezzwłocznego poinformowania o tym Operatora, zanim Umowa zostanie zawarta.</w:t>
      </w:r>
    </w:p>
    <w:p>
      <w:pPr>
        <w:numPr>
          <w:ilvl w:val="0"/>
          <w:numId w:val="43"/>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lastRenderedPageBreak/>
        <w:t>Ostateczne przyznanie wsparcia finansowego na utworzenie i utrzymanie miejsca pracy w PS dokonywane będzie w drodze umowy cywilnoprawnej zawartej w formie pisemnej pod rygorem nieważności na wzorze stanowiącym załącznik nr 5 do Regulaminu.</w:t>
      </w:r>
    </w:p>
    <w:p>
      <w:pPr>
        <w:numPr>
          <w:ilvl w:val="0"/>
          <w:numId w:val="43"/>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W przypadku zawarcia Umowy, najpóźniej w dniu jej podpisania, Odbiorca wsparcia zobowiązany jest </w:t>
      </w:r>
      <w:r>
        <w:rPr>
          <w:rFonts w:ascii="Arial Narrow" w:eastAsia="Tahoma" w:hAnsi="Arial Narrow" w:cs="Tahoma"/>
          <w:lang w:val="pl" w:eastAsia="pl-PL"/>
        </w:rPr>
        <w:br/>
        <w:t>do wniesienia zabezpieczenia prawidłowego wykonania Umowy w formie weksla in blanco wraz z deklaracją wekslową zgodnie z wzorem stanowiącym załącznik nr 8 do Regulaminu. Następnie, w ciągu 10 dni roboczych</w:t>
      </w:r>
      <w:r>
        <w:rPr>
          <w:rFonts w:ascii="Arial Narrow" w:eastAsia="Tahoma" w:hAnsi="Arial Narrow" w:cs="Tahoma"/>
          <w:vertAlign w:val="superscript"/>
          <w:lang w:val="pl" w:eastAsia="pl-PL"/>
        </w:rPr>
        <w:footnoteReference w:id="13"/>
      </w:r>
      <w:r>
        <w:rPr>
          <w:rFonts w:ascii="Arial Narrow" w:eastAsia="Tahoma" w:hAnsi="Arial Narrow" w:cs="Tahoma"/>
          <w:lang w:val="pl" w:eastAsia="pl-PL"/>
        </w:rPr>
        <w:t>, podmiot zobowiązany jest do przedstawienia co najmniej jednego dodatkowego zabezpieczenia prawidłowej realizacji Umowy (do wyboru) zgodnie z poniższym  katalogiem:</w:t>
      </w:r>
    </w:p>
    <w:p>
      <w:pPr>
        <w:numPr>
          <w:ilvl w:val="0"/>
          <w:numId w:val="17"/>
        </w:numPr>
        <w:pBdr>
          <w:top w:val="nil"/>
          <w:left w:val="nil"/>
          <w:bottom w:val="nil"/>
          <w:right w:val="nil"/>
          <w:between w:val="nil"/>
        </w:pBdr>
        <w:spacing w:after="0" w:line="360" w:lineRule="auto"/>
        <w:ind w:right="-40"/>
        <w:jc w:val="both"/>
        <w:rPr>
          <w:rFonts w:ascii="Arial Narrow" w:eastAsia="Tahoma" w:hAnsi="Arial Narrow" w:cs="Tahoma"/>
          <w:color w:val="000000"/>
          <w:lang w:val="pl" w:eastAsia="pl-PL"/>
        </w:rPr>
      </w:pPr>
      <w:r>
        <w:rPr>
          <w:rFonts w:ascii="Arial Narrow" w:eastAsia="Tahoma" w:hAnsi="Arial Narrow" w:cs="Tahoma"/>
          <w:color w:val="000000"/>
          <w:lang w:val="pl" w:eastAsia="pl-PL"/>
        </w:rPr>
        <w:t>poręczenia cywilnoprawne wniesione przez:</w:t>
      </w:r>
    </w:p>
    <w:p>
      <w:pPr>
        <w:numPr>
          <w:ilvl w:val="2"/>
          <w:numId w:val="17"/>
        </w:numPr>
        <w:pBdr>
          <w:top w:val="nil"/>
          <w:left w:val="nil"/>
          <w:bottom w:val="nil"/>
          <w:right w:val="nil"/>
          <w:between w:val="nil"/>
        </w:pBdr>
        <w:spacing w:after="0" w:line="360" w:lineRule="auto"/>
        <w:ind w:left="1701" w:right="-40"/>
        <w:jc w:val="both"/>
        <w:rPr>
          <w:rFonts w:ascii="Arial Narrow" w:eastAsia="Tahoma" w:hAnsi="Arial Narrow" w:cs="Tahoma"/>
          <w:color w:val="000000"/>
          <w:lang w:val="pl" w:eastAsia="pl-PL"/>
        </w:rPr>
      </w:pPr>
      <w:r>
        <w:rPr>
          <w:rFonts w:ascii="Arial Narrow" w:eastAsia="Tahoma" w:hAnsi="Arial Narrow" w:cs="Tahoma"/>
          <w:color w:val="000000"/>
          <w:lang w:val="pl" w:eastAsia="pl-PL"/>
        </w:rPr>
        <w:t>osoby prawne – pod warunkiem dokonania oceny sytuacji finansowej w oparciu o dokumenty finansowe,</w:t>
      </w:r>
    </w:p>
    <w:p>
      <w:pPr>
        <w:numPr>
          <w:ilvl w:val="2"/>
          <w:numId w:val="17"/>
        </w:numPr>
        <w:pBdr>
          <w:top w:val="nil"/>
          <w:left w:val="nil"/>
          <w:bottom w:val="nil"/>
          <w:right w:val="nil"/>
          <w:between w:val="nil"/>
        </w:pBdr>
        <w:spacing w:after="0" w:line="360" w:lineRule="auto"/>
        <w:ind w:left="1701" w:right="-40"/>
        <w:jc w:val="both"/>
        <w:rPr>
          <w:rFonts w:ascii="Arial Narrow" w:eastAsia="Tahoma" w:hAnsi="Arial Narrow" w:cs="Tahoma"/>
          <w:color w:val="000000"/>
          <w:lang w:val="pl" w:eastAsia="pl-PL"/>
        </w:rPr>
      </w:pPr>
      <w:r>
        <w:rPr>
          <w:rFonts w:ascii="Arial Narrow" w:eastAsia="Tahoma" w:hAnsi="Arial Narrow" w:cs="Tahoma"/>
          <w:color w:val="000000"/>
          <w:lang w:val="pl" w:eastAsia="pl-PL"/>
        </w:rPr>
        <w:t>jednostki samorządu terytorialnego – sytuacja finansowa jednostki samorządu terytorialnego nie podlega ocenie,</w:t>
      </w:r>
    </w:p>
    <w:p>
      <w:pPr>
        <w:numPr>
          <w:ilvl w:val="2"/>
          <w:numId w:val="17"/>
        </w:numPr>
        <w:pBdr>
          <w:top w:val="nil"/>
          <w:left w:val="nil"/>
          <w:bottom w:val="nil"/>
          <w:right w:val="nil"/>
          <w:between w:val="nil"/>
        </w:pBdr>
        <w:spacing w:after="0" w:line="360" w:lineRule="auto"/>
        <w:ind w:left="1701" w:right="-40"/>
        <w:jc w:val="both"/>
        <w:rPr>
          <w:rFonts w:ascii="Arial Narrow" w:eastAsia="Tahoma" w:hAnsi="Arial Narrow" w:cs="Tahoma"/>
          <w:color w:val="000000"/>
          <w:lang w:val="pl" w:eastAsia="pl-PL"/>
        </w:rPr>
      </w:pPr>
      <w:r>
        <w:rPr>
          <w:rFonts w:ascii="Arial Narrow" w:eastAsia="Tahoma" w:hAnsi="Arial Narrow" w:cs="Tahoma"/>
          <w:color w:val="000000"/>
          <w:lang w:val="pl" w:eastAsia="pl-PL"/>
        </w:rPr>
        <w:t>osoby fizyczne – pod warunkiem dokonania oceny jej sytuacji finansowej, przy czym wymagane jest posiadanie przez tę osobę stałego źródła dochodów. Wiarygodność poręczyciela oceniana jest na podstawie jego sytuacji majątkowo-finansowej. W przypadku, gdy poręczyciel/le posiadają wspólnotę majątkową ze współmałżonkiem – weksel in blanco i deklaracja wekslowa muszą być podpisane również przez współmałżonka..</w:t>
      </w:r>
    </w:p>
    <w:p>
      <w:pPr>
        <w:numPr>
          <w:ilvl w:val="1"/>
          <w:numId w:val="17"/>
        </w:numPr>
        <w:pBdr>
          <w:top w:val="nil"/>
          <w:left w:val="nil"/>
          <w:bottom w:val="nil"/>
          <w:right w:val="nil"/>
          <w:between w:val="nil"/>
        </w:pBdr>
        <w:spacing w:after="0" w:line="360" w:lineRule="auto"/>
        <w:ind w:left="1276" w:right="-40"/>
        <w:jc w:val="both"/>
        <w:rPr>
          <w:rFonts w:ascii="Arial Narrow" w:eastAsia="Tahoma" w:hAnsi="Arial Narrow" w:cs="Tahoma"/>
          <w:color w:val="000000"/>
          <w:lang w:val="pl" w:eastAsia="pl-PL"/>
        </w:rPr>
      </w:pPr>
      <w:r>
        <w:rPr>
          <w:rFonts w:ascii="Arial Narrow" w:eastAsia="Tahoma" w:hAnsi="Arial Narrow" w:cs="Tahoma"/>
          <w:lang w:val="pl" w:eastAsia="pl-PL"/>
        </w:rPr>
        <w:t>poręczenie wekslowe (</w:t>
      </w:r>
      <w:proofErr w:type="spellStart"/>
      <w:r>
        <w:rPr>
          <w:rFonts w:ascii="Arial Narrow" w:eastAsia="Tahoma" w:hAnsi="Arial Narrow" w:cs="Tahoma"/>
          <w:lang w:val="pl" w:eastAsia="pl-PL"/>
        </w:rPr>
        <w:t>aval</w:t>
      </w:r>
      <w:proofErr w:type="spellEnd"/>
      <w:r>
        <w:rPr>
          <w:rFonts w:ascii="Arial Narrow" w:eastAsia="Tahoma" w:hAnsi="Arial Narrow" w:cs="Tahoma"/>
          <w:lang w:val="pl" w:eastAsia="pl-PL"/>
        </w:rPr>
        <w:t xml:space="preserve">) na wekslu wystawionym przez Odbiorcę wsparcia, </w:t>
      </w:r>
    </w:p>
    <w:p>
      <w:pPr>
        <w:numPr>
          <w:ilvl w:val="1"/>
          <w:numId w:val="17"/>
        </w:numPr>
        <w:pBdr>
          <w:top w:val="nil"/>
          <w:left w:val="nil"/>
          <w:bottom w:val="nil"/>
          <w:right w:val="nil"/>
          <w:between w:val="nil"/>
        </w:pBdr>
        <w:spacing w:after="0" w:line="360" w:lineRule="auto"/>
        <w:ind w:left="1276" w:right="-40"/>
        <w:jc w:val="both"/>
        <w:rPr>
          <w:rFonts w:ascii="Arial Narrow" w:eastAsia="Tahoma" w:hAnsi="Arial Narrow" w:cs="Tahoma"/>
          <w:color w:val="000000"/>
          <w:lang w:val="pl" w:eastAsia="pl-PL"/>
        </w:rPr>
      </w:pPr>
      <w:r>
        <w:rPr>
          <w:rFonts w:ascii="Arial Narrow" w:eastAsia="Tahoma" w:hAnsi="Arial Narrow" w:cs="Tahoma"/>
          <w:lang w:val="pl" w:eastAsia="pl-PL"/>
        </w:rPr>
        <w:t>g</w:t>
      </w:r>
      <w:r>
        <w:rPr>
          <w:rFonts w:ascii="Arial Narrow" w:eastAsia="Tahoma" w:hAnsi="Arial Narrow" w:cs="Tahoma"/>
          <w:color w:val="000000"/>
          <w:lang w:val="pl" w:eastAsia="pl-PL"/>
        </w:rPr>
        <w:t>warancja bankowa lub ubezpieczeniowa,</w:t>
      </w:r>
    </w:p>
    <w:p>
      <w:pPr>
        <w:numPr>
          <w:ilvl w:val="1"/>
          <w:numId w:val="17"/>
        </w:numPr>
        <w:pBdr>
          <w:top w:val="nil"/>
          <w:left w:val="nil"/>
          <w:bottom w:val="nil"/>
          <w:right w:val="nil"/>
          <w:between w:val="nil"/>
        </w:pBdr>
        <w:spacing w:after="0" w:line="360" w:lineRule="auto"/>
        <w:ind w:left="1276" w:right="-40"/>
        <w:jc w:val="both"/>
        <w:rPr>
          <w:rFonts w:ascii="Arial Narrow" w:eastAsia="Tahoma" w:hAnsi="Arial Narrow" w:cs="Tahoma"/>
          <w:color w:val="000000"/>
          <w:lang w:val="pl" w:eastAsia="pl-PL"/>
        </w:rPr>
      </w:pPr>
      <w:r>
        <w:rPr>
          <w:rFonts w:ascii="Arial Narrow" w:eastAsia="Tahoma" w:hAnsi="Arial Narrow" w:cs="Tahoma"/>
          <w:lang w:val="pl" w:eastAsia="pl-PL"/>
        </w:rPr>
        <w:t>z</w:t>
      </w:r>
      <w:r>
        <w:rPr>
          <w:rFonts w:ascii="Arial Narrow" w:eastAsia="Tahoma" w:hAnsi="Arial Narrow" w:cs="Tahoma"/>
          <w:color w:val="000000"/>
          <w:lang w:val="pl" w:eastAsia="pl-PL"/>
        </w:rPr>
        <w:t>astaw na prawach lub rzeczach,</w:t>
      </w:r>
    </w:p>
    <w:p>
      <w:pPr>
        <w:numPr>
          <w:ilvl w:val="1"/>
          <w:numId w:val="17"/>
        </w:numPr>
        <w:pBdr>
          <w:top w:val="nil"/>
          <w:left w:val="nil"/>
          <w:bottom w:val="nil"/>
          <w:right w:val="nil"/>
          <w:between w:val="nil"/>
        </w:pBdr>
        <w:spacing w:after="0" w:line="360" w:lineRule="auto"/>
        <w:ind w:left="1276" w:right="-40"/>
        <w:jc w:val="both"/>
        <w:rPr>
          <w:rFonts w:ascii="Arial Narrow" w:eastAsia="Tahoma" w:hAnsi="Arial Narrow" w:cs="Tahoma"/>
          <w:color w:val="000000"/>
          <w:lang w:val="pl" w:eastAsia="pl-PL"/>
        </w:rPr>
      </w:pPr>
      <w:r>
        <w:rPr>
          <w:rFonts w:ascii="Arial Narrow" w:eastAsia="Tahoma" w:hAnsi="Arial Narrow" w:cs="Tahoma"/>
          <w:lang w:val="pl" w:eastAsia="pl-PL"/>
        </w:rPr>
        <w:t>h</w:t>
      </w:r>
      <w:r>
        <w:rPr>
          <w:rFonts w:ascii="Arial Narrow" w:eastAsia="Tahoma" w:hAnsi="Arial Narrow" w:cs="Tahoma"/>
          <w:color w:val="000000"/>
          <w:lang w:val="pl" w:eastAsia="pl-PL"/>
        </w:rPr>
        <w:t>ipoteka,</w:t>
      </w:r>
    </w:p>
    <w:p>
      <w:pPr>
        <w:numPr>
          <w:ilvl w:val="1"/>
          <w:numId w:val="17"/>
        </w:numPr>
        <w:pBdr>
          <w:top w:val="nil"/>
          <w:left w:val="nil"/>
          <w:bottom w:val="nil"/>
          <w:right w:val="nil"/>
          <w:between w:val="nil"/>
        </w:pBdr>
        <w:spacing w:after="0" w:line="360" w:lineRule="auto"/>
        <w:ind w:left="1276" w:right="-40"/>
        <w:jc w:val="both"/>
        <w:rPr>
          <w:rFonts w:ascii="Arial Narrow" w:eastAsia="Tahoma" w:hAnsi="Arial Narrow" w:cs="Tahoma"/>
          <w:color w:val="000000"/>
          <w:lang w:val="pl" w:eastAsia="pl-PL"/>
        </w:rPr>
      </w:pPr>
      <w:r>
        <w:rPr>
          <w:rFonts w:ascii="Arial Narrow" w:eastAsia="Tahoma" w:hAnsi="Arial Narrow" w:cs="Tahoma"/>
          <w:lang w:val="pl" w:eastAsia="pl-PL"/>
        </w:rPr>
        <w:t>b</w:t>
      </w:r>
      <w:r>
        <w:rPr>
          <w:rFonts w:ascii="Arial Narrow" w:eastAsia="Tahoma" w:hAnsi="Arial Narrow" w:cs="Tahoma"/>
          <w:color w:val="000000"/>
          <w:lang w:val="pl" w:eastAsia="pl-PL"/>
        </w:rPr>
        <w:t>lokada rachunku bankowego,</w:t>
      </w:r>
    </w:p>
    <w:p>
      <w:pPr>
        <w:numPr>
          <w:ilvl w:val="1"/>
          <w:numId w:val="17"/>
        </w:numPr>
        <w:pBdr>
          <w:top w:val="nil"/>
          <w:left w:val="nil"/>
          <w:bottom w:val="nil"/>
          <w:right w:val="nil"/>
          <w:between w:val="nil"/>
        </w:pBdr>
        <w:spacing w:after="0" w:line="360" w:lineRule="auto"/>
        <w:ind w:left="1276" w:right="-40"/>
        <w:jc w:val="both"/>
        <w:rPr>
          <w:rFonts w:ascii="Arial Narrow" w:eastAsia="Tahoma" w:hAnsi="Arial Narrow" w:cs="Tahoma"/>
          <w:color w:val="000000"/>
          <w:lang w:val="pl" w:eastAsia="pl-PL"/>
        </w:rPr>
      </w:pPr>
      <w:r>
        <w:rPr>
          <w:rFonts w:ascii="Arial Narrow" w:eastAsia="Tahoma" w:hAnsi="Arial Narrow" w:cs="Tahoma"/>
          <w:lang w:val="pl" w:eastAsia="pl-PL"/>
        </w:rPr>
        <w:t>a</w:t>
      </w:r>
      <w:r>
        <w:rPr>
          <w:rFonts w:ascii="Arial Narrow" w:eastAsia="Tahoma" w:hAnsi="Arial Narrow" w:cs="Tahoma"/>
          <w:color w:val="000000"/>
          <w:lang w:val="pl" w:eastAsia="pl-PL"/>
        </w:rPr>
        <w:t>kt notarialny o dobrowolnym poddaniu się egzekucji,</w:t>
      </w:r>
    </w:p>
    <w:p>
      <w:pPr>
        <w:numPr>
          <w:ilvl w:val="1"/>
          <w:numId w:val="17"/>
        </w:numPr>
        <w:pBdr>
          <w:top w:val="nil"/>
          <w:left w:val="nil"/>
          <w:bottom w:val="nil"/>
          <w:right w:val="nil"/>
          <w:between w:val="nil"/>
        </w:pBdr>
        <w:spacing w:after="0" w:line="360" w:lineRule="auto"/>
        <w:ind w:left="1276" w:right="-40"/>
        <w:jc w:val="both"/>
        <w:rPr>
          <w:rFonts w:ascii="Arial Narrow" w:eastAsia="Tahoma" w:hAnsi="Arial Narrow" w:cs="Tahoma"/>
          <w:color w:val="000000"/>
          <w:lang w:val="pl" w:eastAsia="pl-PL"/>
        </w:rPr>
      </w:pPr>
      <w:r>
        <w:rPr>
          <w:rFonts w:ascii="Arial Narrow" w:eastAsia="Tahoma" w:hAnsi="Arial Narrow" w:cs="Tahoma"/>
          <w:color w:val="000000"/>
          <w:lang w:val="pl" w:eastAsia="pl-PL"/>
        </w:rPr>
        <w:t>poręczenie bankowe,</w:t>
      </w:r>
    </w:p>
    <w:p>
      <w:pPr>
        <w:numPr>
          <w:ilvl w:val="1"/>
          <w:numId w:val="17"/>
        </w:numPr>
        <w:pBdr>
          <w:top w:val="nil"/>
          <w:left w:val="nil"/>
          <w:bottom w:val="nil"/>
          <w:right w:val="nil"/>
          <w:between w:val="nil"/>
        </w:pBdr>
        <w:spacing w:after="0" w:line="360" w:lineRule="auto"/>
        <w:ind w:left="1276" w:right="-40"/>
        <w:rPr>
          <w:rFonts w:ascii="Arial Narrow" w:eastAsia="Tahoma" w:hAnsi="Arial Narrow" w:cs="Tahoma"/>
          <w:lang w:val="pl" w:eastAsia="pl-PL"/>
        </w:rPr>
      </w:pPr>
      <w:r>
        <w:rPr>
          <w:rFonts w:ascii="Arial Narrow" w:eastAsia="Tahoma" w:hAnsi="Arial Narrow" w:cs="Tahoma"/>
          <w:lang w:val="pl" w:eastAsia="pl-PL"/>
        </w:rPr>
        <w:t>inne zabezpieczenia określone w przepisach prawa cywilnego oraz inne nie opisane w przepisach prawa cywilnego np. przewłaszczenie na zabezpieczenie, przystąpienie do długu.</w:t>
      </w:r>
    </w:p>
    <w:p>
      <w:pPr>
        <w:numPr>
          <w:ilvl w:val="0"/>
          <w:numId w:val="43"/>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Operator ma prawo niezaakceptowania wybranych przez PS/PES form zabezpieczeń i przedstawienia innych form, które zostaną uznane jako ostateczne.</w:t>
      </w:r>
    </w:p>
    <w:p>
      <w:pPr>
        <w:numPr>
          <w:ilvl w:val="0"/>
          <w:numId w:val="43"/>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lastRenderedPageBreak/>
        <w:t>Niezaakceptowanie zabezpieczenia może nastąpić w przypadku, gdy wybrana forma zabezpieczenie nie pokrywa w całości zobowiązań (przyznanego wsparcia na utworzenie i utrzymanie miejsca pracy). W tym przypadku Operator ma prawo zaproponować dodatkowe zabezpieczenie z ww. katalogu.</w:t>
      </w:r>
    </w:p>
    <w:p>
      <w:pPr>
        <w:numPr>
          <w:ilvl w:val="0"/>
          <w:numId w:val="43"/>
        </w:numPr>
        <w:spacing w:after="24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Dokumenty zabezpieczenia prawidłowej realizacji Umowy o udzielenie wsparcia finansowego w postaci weksla in blanco wraz z deklaracją wekslową oraz dodatkowego zabezpieczenia, zostaną zwrócone Odbiorcy wsparcia (na pisemny wniosek) po spełnieniu przez niego wszystkich wymogów określonych w Umowie o udzielenie wsparcia finansowego oraz niniejszym Regulaminie, w szczególności po spełnieniu wymogu trwałości miejsc pracy oraz trwałości PS, o którym mowa w §7 niniejszego regulaminu. Weksel in blanco zostanie komisyjnie zniszczony przez remitenta  tj. Elbląskie Stowarzyszenie Wspierania Inicjatyw Pozarządowych w terminie 30 </w:t>
      </w:r>
      <w:bookmarkStart w:id="15" w:name="_GoBack"/>
      <w:bookmarkEnd w:id="15"/>
      <w:r>
        <w:rPr>
          <w:rFonts w:ascii="Arial Narrow" w:eastAsia="Tahoma" w:hAnsi="Arial Narrow" w:cs="Tahoma"/>
          <w:lang w:val="pl" w:eastAsia="pl-PL"/>
        </w:rPr>
        <w:t xml:space="preserve">dni po upływie terminów przewidzianych w §7 (albo wygaśnięcia zobowiązania wekslowego), o ile przedstawiciel Wystawcy przed tym terminem nie zgłosi się osobiście w siedzibie remitenta tj. Elbląskie Stowarzyszenie Wspierania Inicjatyw Pozarządowych przy ul. </w:t>
      </w:r>
      <w:proofErr w:type="spellStart"/>
      <w:r>
        <w:rPr>
          <w:rFonts w:ascii="Arial Narrow" w:eastAsia="Tahoma" w:hAnsi="Arial Narrow" w:cs="Tahoma"/>
          <w:lang w:val="pl" w:eastAsia="pl-PL"/>
        </w:rPr>
        <w:t>Stawidłowej</w:t>
      </w:r>
      <w:proofErr w:type="spellEnd"/>
      <w:r>
        <w:rPr>
          <w:rFonts w:ascii="Arial Narrow" w:eastAsia="Tahoma" w:hAnsi="Arial Narrow" w:cs="Tahoma"/>
          <w:lang w:val="pl" w:eastAsia="pl-PL"/>
        </w:rPr>
        <w:t xml:space="preserve"> 3 w Elblągu po odbiór tego weksla za pokwitowaniem, natomiast dodatkowe zabezpieczenie zostanie zwolnione w terminie 30 dni od daty wygaśnięcia zobowiązania wekslowego.</w:t>
      </w:r>
    </w:p>
    <w:p>
      <w:pPr>
        <w:spacing w:after="0" w:line="276" w:lineRule="auto"/>
        <w:jc w:val="center"/>
        <w:rPr>
          <w:rFonts w:ascii="Arial Narrow" w:eastAsia="Arial" w:hAnsi="Arial Narrow" w:cs="Arial"/>
          <w:b/>
          <w:lang w:val="pl" w:eastAsia="pl-PL"/>
        </w:rPr>
      </w:pPr>
      <w:r>
        <w:rPr>
          <w:rFonts w:ascii="Arial Narrow" w:eastAsia="Arial" w:hAnsi="Arial Narrow" w:cs="Arial"/>
          <w:b/>
          <w:lang w:val="pl" w:eastAsia="pl-PL"/>
        </w:rPr>
        <w:t>§ 7</w:t>
      </w:r>
    </w:p>
    <w:p>
      <w:pPr>
        <w:keepNext/>
        <w:keepLines/>
        <w:spacing w:after="120" w:line="276" w:lineRule="auto"/>
        <w:jc w:val="center"/>
        <w:outlineLvl w:val="0"/>
        <w:rPr>
          <w:rFonts w:ascii="Arial Narrow" w:eastAsia="Tahoma" w:hAnsi="Arial Narrow" w:cs="Arial"/>
          <w:b/>
          <w:lang w:val="pl" w:eastAsia="pl-PL"/>
        </w:rPr>
      </w:pPr>
      <w:bookmarkStart w:id="16" w:name="_1t3h5sf" w:colFirst="0" w:colLast="0"/>
      <w:bookmarkStart w:id="17" w:name="_Toc175735245"/>
      <w:bookmarkEnd w:id="16"/>
      <w:r>
        <w:rPr>
          <w:rFonts w:ascii="Arial Narrow" w:eastAsia="Arial" w:hAnsi="Arial Narrow" w:cs="Arial"/>
          <w:b/>
          <w:lang w:val="pl" w:eastAsia="pl-PL"/>
        </w:rPr>
        <w:t>Utworzenie i utrzymanie miejsc pracy oraz trwałość PS</w:t>
      </w:r>
      <w:bookmarkEnd w:id="17"/>
    </w:p>
    <w:p>
      <w:pPr>
        <w:numPr>
          <w:ilvl w:val="0"/>
          <w:numId w:val="28"/>
        </w:numPr>
        <w:spacing w:after="0" w:line="360" w:lineRule="auto"/>
        <w:contextualSpacing/>
        <w:jc w:val="both"/>
        <w:rPr>
          <w:rFonts w:ascii="Arial Narrow" w:eastAsia="Tahoma" w:hAnsi="Arial Narrow" w:cs="Tahoma"/>
          <w:lang w:val="pl" w:eastAsia="pl-PL"/>
        </w:rPr>
      </w:pPr>
      <w:r>
        <w:rPr>
          <w:rFonts w:ascii="Arial Narrow" w:eastAsia="Tahoma" w:hAnsi="Arial Narrow" w:cs="Tahoma"/>
          <w:lang w:val="pl" w:eastAsia="pl-PL"/>
        </w:rPr>
        <w:t>Kwota stawki na utworzenie miejsca pracy lub jej wielokrotność jest wypłacana jednorazowo po podpisaniu U</w:t>
      </w:r>
      <w:r>
        <w:rPr>
          <w:rFonts w:ascii="Arial Narrow" w:eastAsia="Arial" w:hAnsi="Arial Narrow" w:cs="Arial"/>
          <w:lang w:val="pl" w:eastAsia="pl-PL"/>
        </w:rPr>
        <w:t xml:space="preserve">mowy </w:t>
      </w:r>
      <w:r>
        <w:rPr>
          <w:rFonts w:ascii="Arial Narrow" w:eastAsia="Tahoma" w:hAnsi="Arial Narrow" w:cs="Tahoma"/>
          <w:lang w:val="pl" w:eastAsia="pl-PL"/>
        </w:rPr>
        <w:t xml:space="preserve">na rachunek bankowy, którego jedynym posiadaczem jest Odbiorca wsparcia wskazany w Umowie, oraz wniesieniu przez Odbiorcę wsparcia zabezpieczeń prawidłowego wykonania Umowy. </w:t>
      </w:r>
    </w:p>
    <w:p>
      <w:pPr>
        <w:numPr>
          <w:ilvl w:val="0"/>
          <w:numId w:val="7"/>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Operator może uzależnić termin wypłaty wsparcia finansowego od posiadanych środków finansowych </w:t>
      </w:r>
      <w:r>
        <w:rPr>
          <w:rFonts w:ascii="Arial Narrow" w:eastAsia="Tahoma" w:hAnsi="Arial Narrow" w:cs="Tahoma"/>
          <w:lang w:val="pl" w:eastAsia="pl-PL"/>
        </w:rPr>
        <w:br/>
        <w:t xml:space="preserve">na rachunku bankowym projektu OWES. </w:t>
      </w:r>
    </w:p>
    <w:p>
      <w:pPr>
        <w:numPr>
          <w:ilvl w:val="0"/>
          <w:numId w:val="7"/>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W ciągu 3 miesięcy od dnia wypłaty wsparcia finansowego na utworzenie miejsc pracy Odbiorca wsparcia ma obowiązek utworzyć wszystkie miejsca pracy, na które otrzymał środki. W uzasadnionych przypadkach termin ten może zostać wydłużony o dodatkowe 30 dni</w:t>
      </w:r>
      <w:r>
        <w:rPr>
          <w:rFonts w:ascii="Arial Narrow" w:eastAsia="Tahoma" w:hAnsi="Arial Narrow" w:cs="Tahoma"/>
          <w:vertAlign w:val="superscript"/>
          <w:lang w:val="pl" w:eastAsia="pl-PL"/>
        </w:rPr>
        <w:footnoteReference w:id="14"/>
      </w:r>
      <w:r>
        <w:rPr>
          <w:rFonts w:ascii="Arial Narrow" w:eastAsia="Tahoma" w:hAnsi="Arial Narrow" w:cs="Tahoma"/>
          <w:lang w:val="pl" w:eastAsia="pl-PL"/>
        </w:rPr>
        <w:t xml:space="preserve">. </w:t>
      </w:r>
    </w:p>
    <w:p>
      <w:pPr>
        <w:numPr>
          <w:ilvl w:val="0"/>
          <w:numId w:val="7"/>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Za dzień utworzenia miejsca pracy uznaje się datę rozpoczęcia pracy nowozatrudnionej osoby.</w:t>
      </w:r>
    </w:p>
    <w:p>
      <w:pPr>
        <w:numPr>
          <w:ilvl w:val="0"/>
          <w:numId w:val="7"/>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Przed planowanym podpisaniem umowy o pracę lub spółdzielczej umowy o pracę z osobą, o której mowa </w:t>
      </w:r>
      <w:r>
        <w:rPr>
          <w:rFonts w:ascii="Arial Narrow" w:eastAsia="Tahoma" w:hAnsi="Arial Narrow" w:cs="Tahoma"/>
          <w:lang w:val="pl" w:eastAsia="pl-PL"/>
        </w:rPr>
        <w:br/>
        <w:t>w § 1 ust. 2 i 3, Odbiorca wsparcia jest zobowiązany przedłożyć do OWES aktualne</w:t>
      </w:r>
      <w:r>
        <w:rPr>
          <w:rFonts w:ascii="Arial Narrow" w:eastAsia="Tahoma" w:hAnsi="Arial Narrow" w:cs="Tahoma"/>
          <w:vertAlign w:val="superscript"/>
          <w:lang w:val="pl" w:eastAsia="pl-PL"/>
        </w:rPr>
        <w:footnoteReference w:id="15"/>
      </w:r>
      <w:r>
        <w:rPr>
          <w:rFonts w:ascii="Arial Narrow" w:eastAsia="Tahoma" w:hAnsi="Arial Narrow" w:cs="Tahoma"/>
          <w:lang w:val="pl" w:eastAsia="pl-PL"/>
        </w:rPr>
        <w:t xml:space="preserve"> dokumenty potwierdzające kwalifikowalność tej osoby, tj. spełnianie przesłanek osoby zagrożonej wykluczeniem społecznym. W tym celu ma obowiązek przedłożyć następujące dokumenty dotyczące danej osoby:</w:t>
      </w:r>
    </w:p>
    <w:p>
      <w:pPr>
        <w:numPr>
          <w:ilvl w:val="0"/>
          <w:numId w:val="33"/>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lastRenderedPageBreak/>
        <w:t>deklarację uczestnictwa w projekcie OWES</w:t>
      </w:r>
      <w:r>
        <w:rPr>
          <w:rFonts w:ascii="Arial Narrow" w:eastAsia="Tahoma" w:hAnsi="Arial Narrow" w:cs="Tahoma"/>
          <w:vertAlign w:val="superscript"/>
          <w:lang w:val="pl" w:eastAsia="pl-PL"/>
        </w:rPr>
        <w:footnoteReference w:id="16"/>
      </w:r>
      <w:r>
        <w:rPr>
          <w:rFonts w:ascii="Arial Narrow" w:eastAsia="Tahoma" w:hAnsi="Arial Narrow" w:cs="Tahoma"/>
          <w:lang w:val="pl" w:eastAsia="pl-PL"/>
        </w:rPr>
        <w:t>,</w:t>
      </w:r>
    </w:p>
    <w:p>
      <w:pPr>
        <w:numPr>
          <w:ilvl w:val="0"/>
          <w:numId w:val="33"/>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zaświadczenie z PUP i/lub zaświadczenie z ZUS. Z treści zaświadczenia/zaświadczeń musi wynikać, że kandydat/ka do zatrudnienia w PS nie posiada zatrudnienia oraz że w okresie 12 miesięcy poprzedzających złożenie wniosku o udzielenie wsparcia finansowego osoba ta nie była zatrudniona w PS (w którym ubiega się o zatrudnienie) na podstawie umowy o pracę, spółdzielczej umowy o pracę lub umowy cywilnoprawnej;</w:t>
      </w:r>
    </w:p>
    <w:p>
      <w:pPr>
        <w:numPr>
          <w:ilvl w:val="0"/>
          <w:numId w:val="33"/>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orzeczenie o niepełnosprawności lub inny dokument potwierdzający stopień niepełnosprawności </w:t>
      </w:r>
      <w:r>
        <w:rPr>
          <w:rFonts w:ascii="Arial Narrow" w:eastAsia="Tahoma" w:hAnsi="Arial Narrow" w:cs="Tahoma"/>
          <w:lang w:val="pl" w:eastAsia="pl-PL"/>
        </w:rPr>
        <w:br/>
        <w:t xml:space="preserve">w przypadku utworzenia w wymiarze co najmniej ¼ etatu miejsca pracy dla osób </w:t>
      </w:r>
      <w:r>
        <w:rPr>
          <w:rFonts w:ascii="Arial Narrow" w:eastAsia="Tahoma" w:hAnsi="Arial Narrow" w:cs="Tahoma"/>
          <w:lang w:val="pl" w:eastAsia="pl-PL"/>
        </w:rPr>
        <w:br/>
        <w:t xml:space="preserve">z niepełnosprawnościami sprzężonymi lub ze znacznym stopniem niepełnosprawności; </w:t>
      </w:r>
    </w:p>
    <w:p>
      <w:pPr>
        <w:numPr>
          <w:ilvl w:val="0"/>
          <w:numId w:val="33"/>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inne zaświadczenia potwierdzające status osoby zagrożonej wykluczeniem społecznym. </w:t>
      </w:r>
    </w:p>
    <w:p>
      <w:pPr>
        <w:numPr>
          <w:ilvl w:val="0"/>
          <w:numId w:val="7"/>
        </w:numPr>
        <w:pBdr>
          <w:top w:val="nil"/>
          <w:left w:val="nil"/>
          <w:bottom w:val="nil"/>
          <w:right w:val="nil"/>
          <w:between w:val="nil"/>
        </w:pBdr>
        <w:spacing w:after="0" w:line="360" w:lineRule="auto"/>
        <w:ind w:right="-40"/>
        <w:jc w:val="both"/>
        <w:rPr>
          <w:rFonts w:ascii="Arial Narrow" w:eastAsia="Tahoma" w:hAnsi="Arial Narrow" w:cs="Tahoma"/>
          <w:color w:val="000000"/>
          <w:lang w:val="pl" w:eastAsia="pl-PL"/>
        </w:rPr>
      </w:pPr>
      <w:r>
        <w:rPr>
          <w:rFonts w:ascii="Arial Narrow" w:eastAsia="Tahoma" w:hAnsi="Arial Narrow" w:cs="Tahoma"/>
          <w:color w:val="000000"/>
          <w:lang w:val="pl" w:eastAsia="pl-PL"/>
        </w:rPr>
        <w:t xml:space="preserve">Pracownik OWES informuje </w:t>
      </w:r>
      <w:r>
        <w:rPr>
          <w:rFonts w:ascii="Arial Narrow" w:eastAsia="Tahoma" w:hAnsi="Arial Narrow" w:cs="Tahoma"/>
          <w:lang w:val="pl" w:eastAsia="pl-PL"/>
        </w:rPr>
        <w:t xml:space="preserve">Odbiorcę wsparcia </w:t>
      </w:r>
      <w:r>
        <w:rPr>
          <w:rFonts w:ascii="Arial Narrow" w:eastAsia="Tahoma" w:hAnsi="Arial Narrow" w:cs="Tahoma"/>
          <w:color w:val="000000"/>
          <w:lang w:val="pl" w:eastAsia="pl-PL"/>
        </w:rPr>
        <w:t xml:space="preserve">o wyniku weryfikacji kwalifikowalności danej osoby. Jeśli osoba spełnia przesłanki i została </w:t>
      </w:r>
      <w:r>
        <w:rPr>
          <w:rFonts w:ascii="Arial Narrow" w:eastAsia="Tahoma" w:hAnsi="Arial Narrow" w:cs="Tahoma"/>
          <w:lang w:val="pl" w:eastAsia="pl-PL"/>
        </w:rPr>
        <w:t xml:space="preserve">zarekomendowana do wsparcia </w:t>
      </w:r>
      <w:r>
        <w:rPr>
          <w:rFonts w:ascii="Arial Narrow" w:eastAsia="Tahoma" w:hAnsi="Arial Narrow" w:cs="Tahoma"/>
          <w:color w:val="000000"/>
          <w:lang w:val="pl" w:eastAsia="pl-PL"/>
        </w:rPr>
        <w:t xml:space="preserve">w projekcie, Odbiorca wsparcia może podpisać </w:t>
      </w:r>
      <w:r>
        <w:rPr>
          <w:rFonts w:ascii="Arial Narrow" w:eastAsia="Tahoma" w:hAnsi="Arial Narrow" w:cs="Tahoma"/>
          <w:color w:val="000000"/>
          <w:lang w:val="pl" w:eastAsia="pl-PL"/>
        </w:rPr>
        <w:br/>
        <w:t>z tą osobą umowę o pracę.</w:t>
      </w:r>
    </w:p>
    <w:p>
      <w:pPr>
        <w:numPr>
          <w:ilvl w:val="0"/>
          <w:numId w:val="7"/>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W przypadku, gdy miejsca pracy zostały utworzone przez PS/PES przekształcany w PS na etapie wnioskowania o wsparcie, tj. w okresie od dnia złożenia wniosku o przyznanie wsparcia do dnia przekazania przez Operatora informacji o przyznaniu wsparcia, zaś weryfikację kwalifikowalności osób zatrudnionych na dofinansowanych miejscach pracy przeprowadza się w terminie wskazanym przez Operatora w piśmie informującym o wyniku oceny tego wniosku. PS/PES powinien posiadać i przedłożyć Operatorowi dokumenty, o których mowa w ust. 5 pkt 2-4, potwierdzające kwalifikowalność osoby/osób na moment poprzedzający dzień zatrudnienia, a także dokumenty, o których mowa w ust. 9. Ich nieposiadanie przez PS/PES może skutkować uznaniem przez Operatora, że nowe miejsca pracy nie zostały prawidłowo utworzone.</w:t>
      </w:r>
    </w:p>
    <w:p>
      <w:pPr>
        <w:numPr>
          <w:ilvl w:val="0"/>
          <w:numId w:val="7"/>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Wsparcie na utrzymanie miejsc pracy wypłacane jest w miesięcznych transzach. </w:t>
      </w:r>
    </w:p>
    <w:p>
      <w:pPr>
        <w:numPr>
          <w:ilvl w:val="0"/>
          <w:numId w:val="7"/>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W celu otrzymania pierwszej transzy wsparcia finansowego na utrzymanie miejsc pracy Odbiorca wsparcia ma obowiązek przekazać Operatorowi wsparcia następujące dokumenty potwierdzające utworzenie miejsca pracy:</w:t>
      </w:r>
    </w:p>
    <w:p>
      <w:pPr>
        <w:numPr>
          <w:ilvl w:val="0"/>
          <w:numId w:val="23"/>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kopię umowy o pracę lub spółdzielczej umowy o pracę;</w:t>
      </w:r>
    </w:p>
    <w:p>
      <w:pPr>
        <w:numPr>
          <w:ilvl w:val="0"/>
          <w:numId w:val="23"/>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kopię złożonego formularza ZUS ZUA.</w:t>
      </w:r>
    </w:p>
    <w:p>
      <w:pPr>
        <w:numPr>
          <w:ilvl w:val="0"/>
          <w:numId w:val="7"/>
        </w:numPr>
        <w:pBdr>
          <w:top w:val="nil"/>
          <w:left w:val="nil"/>
          <w:bottom w:val="nil"/>
          <w:right w:val="nil"/>
          <w:between w:val="nil"/>
        </w:pBdr>
        <w:spacing w:after="0" w:line="360" w:lineRule="auto"/>
        <w:ind w:right="-40"/>
        <w:jc w:val="both"/>
        <w:rPr>
          <w:rFonts w:ascii="Arial Narrow" w:eastAsia="Tahoma" w:hAnsi="Arial Narrow" w:cs="Tahoma"/>
          <w:color w:val="000000"/>
          <w:lang w:val="pl" w:eastAsia="pl-PL"/>
        </w:rPr>
      </w:pPr>
      <w:r>
        <w:rPr>
          <w:rFonts w:ascii="Arial Narrow" w:eastAsia="Tahoma" w:hAnsi="Arial Narrow" w:cs="Tahoma"/>
          <w:color w:val="000000"/>
          <w:lang w:val="pl" w:eastAsia="pl-PL"/>
        </w:rPr>
        <w:t>Operator weryfikuje wskazane dokumenty i przy braku zastrzeżeń</w:t>
      </w:r>
      <w:r>
        <w:rPr>
          <w:rFonts w:ascii="Arial Narrow" w:eastAsia="Tahoma" w:hAnsi="Arial Narrow" w:cs="Tahoma"/>
          <w:lang w:val="pl" w:eastAsia="pl-PL"/>
        </w:rPr>
        <w:t xml:space="preserve"> w ciągu 14 dni roboczych </w:t>
      </w:r>
      <w:r>
        <w:rPr>
          <w:rFonts w:ascii="Arial Narrow" w:eastAsia="Tahoma" w:hAnsi="Arial Narrow" w:cs="Tahoma"/>
          <w:color w:val="000000"/>
          <w:lang w:val="pl" w:eastAsia="pl-PL"/>
        </w:rPr>
        <w:t>przekazuje Odbiorcy wsparcia pierwszą transzę wsparcia finansowego na utrzymanie miejsc pracy</w:t>
      </w:r>
      <w:r>
        <w:rPr>
          <w:rFonts w:ascii="Arial Narrow" w:eastAsia="Tahoma" w:hAnsi="Arial Narrow" w:cs="Tahoma"/>
          <w:lang w:val="pl" w:eastAsia="pl-PL"/>
        </w:rPr>
        <w:t xml:space="preserve"> pod warunkiem dostępności środków na koncie Operatora. Kolejne transze przekazywane są po spełnieniu warunków wskazanych w ust. 11. </w:t>
      </w:r>
    </w:p>
    <w:p>
      <w:pPr>
        <w:numPr>
          <w:ilvl w:val="0"/>
          <w:numId w:val="7"/>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W okresie utrzymania miejsc pracy utworzonych ze środków EFS+:</w:t>
      </w:r>
    </w:p>
    <w:p>
      <w:pPr>
        <w:numPr>
          <w:ilvl w:val="0"/>
          <w:numId w:val="5"/>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lastRenderedPageBreak/>
        <w:t xml:space="preserve">zakończenie zatrudnienia danej osoby na nowo utworzonym miejscu pracy może nastąpić </w:t>
      </w:r>
      <w:r>
        <w:rPr>
          <w:rFonts w:ascii="Arial Narrow" w:eastAsia="Tahoma" w:hAnsi="Arial Narrow" w:cs="Tahoma"/>
          <w:highlight w:val="white"/>
          <w:lang w:val="pl" w:eastAsia="pl-PL"/>
        </w:rPr>
        <w:t>wyłącznie z przyczyn leżących po stronie pracownika</w:t>
      </w:r>
      <w:r>
        <w:rPr>
          <w:rFonts w:ascii="Arial Narrow" w:eastAsia="Tahoma" w:hAnsi="Arial Narrow" w:cs="Tahoma"/>
          <w:lang w:val="pl" w:eastAsia="pl-PL"/>
        </w:rPr>
        <w:t xml:space="preserve"> i nie może się to wiązać z likwidacją miejsca pracy;</w:t>
      </w:r>
    </w:p>
    <w:p>
      <w:pPr>
        <w:numPr>
          <w:ilvl w:val="0"/>
          <w:numId w:val="5"/>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dopuszcza się przerwy w zatrudnieniu nie dłuższe niż łącznie 30 dni kalendarzowych w okresie </w:t>
      </w:r>
      <w:r>
        <w:rPr>
          <w:rFonts w:ascii="Arial Narrow" w:eastAsia="Tahoma" w:hAnsi="Arial Narrow" w:cs="Tahoma"/>
          <w:lang w:val="pl" w:eastAsia="pl-PL"/>
        </w:rPr>
        <w:br/>
        <w:t>12 miesięcy uprawniających do kwalifikowania stawki jednostkowej, zaś każdy kolejny dzień przerwy (ponad dopuszczalne 30 dni) odpowiednio wydłuża okres utrzymania miejsca pracy</w:t>
      </w:r>
      <w:r>
        <w:rPr>
          <w:rFonts w:ascii="Arial Narrow" w:eastAsia="Tahoma" w:hAnsi="Arial Narrow" w:cs="Tahoma"/>
          <w:vertAlign w:val="superscript"/>
          <w:lang w:val="pl" w:eastAsia="pl-PL"/>
        </w:rPr>
        <w:footnoteReference w:id="17"/>
      </w:r>
      <w:r>
        <w:rPr>
          <w:rFonts w:ascii="Arial Narrow" w:eastAsia="Tahoma" w:hAnsi="Arial Narrow" w:cs="Tahoma"/>
          <w:lang w:val="pl" w:eastAsia="pl-PL"/>
        </w:rPr>
        <w:t>;</w:t>
      </w:r>
    </w:p>
    <w:p>
      <w:pPr>
        <w:numPr>
          <w:ilvl w:val="0"/>
          <w:numId w:val="5"/>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w ciągu 20 dni kalendarzowych od zakończenia każdego miesiąca kalendarzowego Odbiorca wsparcia ma obowiązek przekazać Operatorowi dokumenty potwierdzające utrzymanie miejsc pracy: </w:t>
      </w:r>
    </w:p>
    <w:p>
      <w:pPr>
        <w:numPr>
          <w:ilvl w:val="0"/>
          <w:numId w:val="21"/>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potwierdzenie zapłaty wynagrodzenia pracownikowi/pracownikom zatrudnionym na stanowiskach pracy utworzonych ze środków EFS+;</w:t>
      </w:r>
    </w:p>
    <w:p>
      <w:pPr>
        <w:numPr>
          <w:ilvl w:val="0"/>
          <w:numId w:val="21"/>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kopię formularza ZUS DRA oraz potwierdzenie opłacenia składek ZUS za dany miesiąc;</w:t>
      </w:r>
    </w:p>
    <w:p>
      <w:pPr>
        <w:numPr>
          <w:ilvl w:val="0"/>
          <w:numId w:val="21"/>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kopie raportów imiennych ZUS RCA/ZUS RSA dot. pracowników zatrudnionych na miejscach pracy utworzonych przy wsparciu finansowym;</w:t>
      </w:r>
    </w:p>
    <w:p>
      <w:pPr>
        <w:numPr>
          <w:ilvl w:val="0"/>
          <w:numId w:val="21"/>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potwierdzenie zapłaty zaliczki na podatek dochodowy do Urzędu Skarbowego (PIT 4R).</w:t>
      </w:r>
    </w:p>
    <w:p>
      <w:pPr>
        <w:spacing w:after="0" w:line="360" w:lineRule="auto"/>
        <w:ind w:left="1068" w:right="-40"/>
        <w:jc w:val="both"/>
        <w:rPr>
          <w:rFonts w:ascii="Arial Narrow" w:eastAsia="Tahoma" w:hAnsi="Arial Narrow" w:cs="Tahoma"/>
          <w:lang w:val="pl" w:eastAsia="pl-PL"/>
        </w:rPr>
      </w:pPr>
      <w:r>
        <w:rPr>
          <w:rFonts w:ascii="Arial Narrow" w:eastAsia="Tahoma" w:hAnsi="Arial Narrow" w:cs="Tahoma"/>
          <w:lang w:val="pl" w:eastAsia="pl-PL"/>
        </w:rPr>
        <w:t>W przypadku braku zastrzeżeń Operator przekazuje Odbiorcy kolejną transzę wsparcia finansowego na utrzymanie miejsc pracy.</w:t>
      </w:r>
    </w:p>
    <w:p>
      <w:pPr>
        <w:numPr>
          <w:ilvl w:val="0"/>
          <w:numId w:val="7"/>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Niedopełnienie przez Odbiorcę wsparcia obowiązków wymienionych w ust. 11 będzie skutkować wstrzymaniem przez Operatora wypłaty transz wsparcia finansowego na utrzymanie miejsca pracy. </w:t>
      </w:r>
    </w:p>
    <w:p>
      <w:pPr>
        <w:numPr>
          <w:ilvl w:val="0"/>
          <w:numId w:val="7"/>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Odbiorca wsparcia obowiązkowo w terminie 3 dni roboczych pisemnie lub pocztą elektroniczną z adresu email wskazanego w umowie o przyznanie wsparcia finansowego informuje Operatora wsparcia o zakończeniu stosunku o pracę z Uczestnikiem/Uczestniczką projektu oraz przedstawia kopię świadectwa pracy tej osoby, </w:t>
      </w:r>
      <w:r>
        <w:rPr>
          <w:rFonts w:ascii="Arial Narrow" w:eastAsia="Tahoma" w:hAnsi="Arial Narrow" w:cs="Tahoma"/>
          <w:lang w:val="pl" w:eastAsia="pl-PL"/>
        </w:rPr>
        <w:br/>
        <w:t>a także ma obowiązek uzupełnić zatrudnienie, rekrutując kandydata/kandydatkę zgodnie z kryteriami Regulaminu. Procedurę opisaną w ustępie 5 i 6 niniejszego paragrafu stosuje się odpowiednio, z zastrzeżeniem że termin określony w ust. 5 pkt 2 należy liczyć w okresie 12 miesięcy poprzedzających moment zatrudnienia kandydata/</w:t>
      </w:r>
      <w:proofErr w:type="spellStart"/>
      <w:r>
        <w:rPr>
          <w:rFonts w:ascii="Arial Narrow" w:eastAsia="Tahoma" w:hAnsi="Arial Narrow" w:cs="Tahoma"/>
          <w:lang w:val="pl" w:eastAsia="pl-PL"/>
        </w:rPr>
        <w:t>tki</w:t>
      </w:r>
      <w:proofErr w:type="spellEnd"/>
      <w:r>
        <w:rPr>
          <w:rFonts w:ascii="Arial Narrow" w:eastAsia="Tahoma" w:hAnsi="Arial Narrow" w:cs="Tahoma"/>
          <w:lang w:val="pl" w:eastAsia="pl-PL"/>
        </w:rPr>
        <w:t xml:space="preserve"> u Odbiorcy wsparcia.</w:t>
      </w:r>
    </w:p>
    <w:p>
      <w:pPr>
        <w:numPr>
          <w:ilvl w:val="0"/>
          <w:numId w:val="7"/>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Każdy podmiot, który otrzymał wsparcie finansowe na utworzenie i utrzymanie miejsc pracy musi: </w:t>
      </w:r>
    </w:p>
    <w:p>
      <w:pPr>
        <w:numPr>
          <w:ilvl w:val="0"/>
          <w:numId w:val="34"/>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utrzymać status PS przez okres obowiązywania Umowy </w:t>
      </w:r>
    </w:p>
    <w:p>
      <w:pPr>
        <w:numPr>
          <w:ilvl w:val="0"/>
          <w:numId w:val="34"/>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lastRenderedPageBreak/>
        <w:t xml:space="preserve">w przypadku PES przekształcanego w PS - podmiot ten musi uzyskać status PS przed upływem </w:t>
      </w:r>
      <w:r>
        <w:rPr>
          <w:rFonts w:ascii="Arial Narrow" w:eastAsia="Tahoma" w:hAnsi="Arial Narrow" w:cs="Tahoma"/>
          <w:lang w:val="pl" w:eastAsia="pl-PL"/>
        </w:rPr>
        <w:br/>
        <w:t>6 miesięcy od dnia utworzenia miejsca pracy</w:t>
      </w:r>
      <w:r>
        <w:rPr>
          <w:rFonts w:ascii="Arial Narrow" w:eastAsia="Tahoma" w:hAnsi="Arial Narrow" w:cs="Tahoma"/>
          <w:vertAlign w:val="superscript"/>
          <w:lang w:val="pl" w:eastAsia="pl-PL"/>
        </w:rPr>
        <w:footnoteReference w:id="18"/>
      </w:r>
      <w:r>
        <w:rPr>
          <w:rFonts w:ascii="Arial Narrow" w:eastAsia="Tahoma" w:hAnsi="Arial Narrow" w:cs="Tahoma"/>
          <w:lang w:val="pl" w:eastAsia="pl-PL"/>
        </w:rPr>
        <w:t>, a następnie utrzymać status PS przez okres obowiązywania Umowy,</w:t>
      </w:r>
    </w:p>
    <w:p>
      <w:pPr>
        <w:numPr>
          <w:ilvl w:val="0"/>
          <w:numId w:val="34"/>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zapewnić, że przed upływem 3 lat od rozliczenia wsparcia finansowego</w:t>
      </w:r>
      <w:r>
        <w:rPr>
          <w:rFonts w:ascii="Arial Narrow" w:eastAsia="Tahoma" w:hAnsi="Arial Narrow" w:cs="Tahoma"/>
          <w:vertAlign w:val="superscript"/>
          <w:lang w:val="pl" w:eastAsia="pl-PL"/>
        </w:rPr>
        <w:footnoteReference w:id="19"/>
      </w:r>
      <w:r>
        <w:rPr>
          <w:rFonts w:ascii="Arial Narrow" w:eastAsia="Tahoma" w:hAnsi="Arial Narrow" w:cs="Tahoma"/>
          <w:lang w:val="pl" w:eastAsia="pl-PL"/>
        </w:rPr>
        <w:t xml:space="preserve"> nie przekształci się </w:t>
      </w:r>
      <w:r>
        <w:rPr>
          <w:rFonts w:ascii="Arial Narrow" w:eastAsia="Tahoma" w:hAnsi="Arial Narrow" w:cs="Tahoma"/>
          <w:lang w:val="pl" w:eastAsia="pl-PL"/>
        </w:rPr>
        <w:br/>
        <w:t xml:space="preserve">w podmiot gospodarczy niespełniający definicji PES, a w przypadku likwidacji tego PES – zapewnić, że majątek zakupiony w związku z udzieleniem wsparcia finansowego na utworzenie i utrzymanie miejsc pracy zostanie ponownie wykorzystany na wsparcie PS, o ile przepisy prawa nie stanowią inaczej. </w:t>
      </w:r>
    </w:p>
    <w:p>
      <w:pPr>
        <w:numPr>
          <w:ilvl w:val="0"/>
          <w:numId w:val="7"/>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Odbiorca wsparcia  jest zobowiązany do utrzymania wszystkich utworzonych miejsc pracy, na które otrzymał wsparcie finansowe, przez okres 12 miesięcy od dnia utworzenia każdego z tych miejsc pracy oraz </w:t>
      </w:r>
      <w:r>
        <w:rPr>
          <w:rFonts w:ascii="Arial Narrow" w:eastAsia="Tahoma" w:hAnsi="Arial Narrow" w:cs="Tahoma"/>
          <w:lang w:val="pl" w:eastAsia="pl-PL"/>
        </w:rPr>
        <w:br/>
        <w:t xml:space="preserve">do zapewnienia ich trwałości przez 6 miesięcy od zakończenia okresu utrzymania miejsc pracy (mierzone od momentu upływu okresu 12 miesięcy finansowania utrzymania miejsca pracy). Łączny czas istnienia każdego miejsca pracy wynosi co najmniej 18 miesięcy od dnia jego utworzenia, z zastrzeżeniem ust. 11 pkt 2. </w:t>
      </w:r>
    </w:p>
    <w:p>
      <w:pPr>
        <w:numPr>
          <w:ilvl w:val="0"/>
          <w:numId w:val="7"/>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Zachowanie trwałości miejsca pracy oznacza jego utrzymanie na takich samych warunkach, jakie obowiązywały w okresie, gdy utrzymanie miejsca pracy finansowane było w ramach stawki jednostkowej. </w:t>
      </w:r>
      <w:r>
        <w:rPr>
          <w:rFonts w:ascii="Arial Narrow" w:eastAsia="Tahoma" w:hAnsi="Arial Narrow" w:cs="Tahoma"/>
          <w:lang w:val="pl" w:eastAsia="pl-PL"/>
        </w:rPr>
        <w:br/>
        <w:t xml:space="preserve">W okresie trwałości miejsca pracy stosuje się zasady określone w ust. 11 pkt 1-3. Każdy dzień przerwy </w:t>
      </w:r>
      <w:r>
        <w:rPr>
          <w:rFonts w:ascii="Arial Narrow" w:eastAsia="Tahoma" w:hAnsi="Arial Narrow" w:cs="Tahoma"/>
          <w:lang w:val="pl" w:eastAsia="pl-PL"/>
        </w:rPr>
        <w:br/>
        <w:t>w zatrudnieniu powyżej 30 dni kalendarzowych odpowiednio wydłuża okres trwałości miejsca pracy.</w:t>
      </w:r>
    </w:p>
    <w:p>
      <w:pPr>
        <w:numPr>
          <w:ilvl w:val="0"/>
          <w:numId w:val="7"/>
        </w:numPr>
        <w:spacing w:after="24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Po upływie okresu trwałości wszystkich miejsc pracy utworzonych z EFS+, Odbiorca wsparcia ma obowiązek w ciągu 20 dni roboczych przedłożyć Operatorowi dokument potwierdzający liczbę istniejących w PS miejsc pracy, np. zaświadczenie z ZUS o liczbie osób zgłoszonych do obowiązkowych ubezpieczeń (społecznych </w:t>
      </w:r>
      <w:r>
        <w:rPr>
          <w:rFonts w:ascii="Arial Narrow" w:eastAsia="Tahoma" w:hAnsi="Arial Narrow" w:cs="Tahoma"/>
          <w:lang w:val="pl" w:eastAsia="pl-PL"/>
        </w:rPr>
        <w:br/>
        <w:t>i zdrowotnego)</w:t>
      </w:r>
      <w:r>
        <w:rPr>
          <w:rFonts w:ascii="Arial Narrow" w:eastAsia="Tahoma" w:hAnsi="Arial Narrow" w:cs="Tahoma"/>
          <w:vertAlign w:val="superscript"/>
          <w:lang w:val="pl" w:eastAsia="pl-PL"/>
        </w:rPr>
        <w:footnoteReference w:id="20"/>
      </w:r>
      <w:r>
        <w:rPr>
          <w:rFonts w:ascii="Arial Narrow" w:eastAsia="Tahoma" w:hAnsi="Arial Narrow" w:cs="Tahoma"/>
          <w:lang w:val="pl" w:eastAsia="pl-PL"/>
        </w:rPr>
        <w:t>.</w:t>
      </w:r>
    </w:p>
    <w:p>
      <w:pPr>
        <w:spacing w:after="0" w:line="276" w:lineRule="auto"/>
        <w:jc w:val="center"/>
        <w:rPr>
          <w:rFonts w:ascii="Arial Narrow" w:eastAsia="Arial" w:hAnsi="Arial Narrow" w:cs="Arial"/>
          <w:b/>
          <w:lang w:val="pl" w:eastAsia="pl-PL"/>
        </w:rPr>
      </w:pPr>
      <w:r>
        <w:rPr>
          <w:rFonts w:ascii="Arial Narrow" w:eastAsia="Arial" w:hAnsi="Arial Narrow" w:cs="Arial"/>
          <w:b/>
          <w:lang w:val="pl" w:eastAsia="pl-PL"/>
        </w:rPr>
        <w:t>§ 8</w:t>
      </w:r>
    </w:p>
    <w:p>
      <w:pPr>
        <w:keepNext/>
        <w:keepLines/>
        <w:spacing w:after="120" w:line="276" w:lineRule="auto"/>
        <w:jc w:val="center"/>
        <w:outlineLvl w:val="0"/>
        <w:rPr>
          <w:rFonts w:ascii="Arial Narrow" w:eastAsia="Arial" w:hAnsi="Arial Narrow" w:cs="Arial"/>
          <w:b/>
          <w:lang w:val="pl" w:eastAsia="pl-PL"/>
        </w:rPr>
      </w:pPr>
      <w:bookmarkStart w:id="18" w:name="_4d34og8" w:colFirst="0" w:colLast="0"/>
      <w:bookmarkStart w:id="19" w:name="_Toc175735246"/>
      <w:bookmarkEnd w:id="18"/>
      <w:r>
        <w:rPr>
          <w:rFonts w:ascii="Arial Narrow" w:eastAsia="Arial" w:hAnsi="Arial Narrow" w:cs="Arial"/>
          <w:b/>
          <w:lang w:val="pl" w:eastAsia="pl-PL"/>
        </w:rPr>
        <w:t>Monitoring i kontrola</w:t>
      </w:r>
      <w:bookmarkEnd w:id="19"/>
    </w:p>
    <w:p>
      <w:pPr>
        <w:numPr>
          <w:ilvl w:val="0"/>
          <w:numId w:val="26"/>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Operator sprawdza prawidłowość wykonania postanowień Umowy co najmniej w okresie obowiązywania Umowy, w tym utworzenie i utrzymanie miejsc pracy oraz monitoruje trwałość miejsc pracy po zakończeniu finansowania z EFS+ przez okres 6 miesięcy i trwałość PS.</w:t>
      </w:r>
    </w:p>
    <w:p>
      <w:pPr>
        <w:numPr>
          <w:ilvl w:val="0"/>
          <w:numId w:val="26"/>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Operator co najmniej raz w trakcie okresu wskazanego w ust. 1 dokonuje kontroli w miejscu prowadzenia działalności przez Odbiorcę wsparcia. Celem kontroli jest weryfikacja w szczególności: </w:t>
      </w:r>
    </w:p>
    <w:p>
      <w:pPr>
        <w:numPr>
          <w:ilvl w:val="0"/>
          <w:numId w:val="27"/>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lastRenderedPageBreak/>
        <w:t xml:space="preserve">czy nowe miejsca pracy zostały faktycznie utworzone i funkcjonują zgodnie z zasadami określonymi w niniejszym Regulaminie, </w:t>
      </w:r>
    </w:p>
    <w:p>
      <w:pPr>
        <w:numPr>
          <w:ilvl w:val="0"/>
          <w:numId w:val="27"/>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czy Odbiorca wsparcia prowadzi działalność zgodnie z wnioskiem, na którego realizację otrzymał wsparcie.</w:t>
      </w:r>
    </w:p>
    <w:p>
      <w:pPr>
        <w:numPr>
          <w:ilvl w:val="0"/>
          <w:numId w:val="26"/>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Operator prowadzi również bieżący monitoring miejsc pracy utworzonych przy wsparciu finansowym OWES. Monitoring polega w szczególności na analizie dokumentów potwierdzających zatrudnienie, przekazywanych przez Odbiorcę wsparcia. Operator może również zwracać się do Odbiorcy wsparcia o dodatkowe wyjaśnienia i dokumenty, aby potwierdzić prawidłowość utrzymania miejsc pracy.</w:t>
      </w:r>
    </w:p>
    <w:p>
      <w:pPr>
        <w:numPr>
          <w:ilvl w:val="0"/>
          <w:numId w:val="26"/>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W przypadku powtarzających się opóźnień, błędów i/lub braków w dokumentacji przekazywanej przez Odbiorcę wsparcia, Operator może przeprowadzić doraźną kontrolę, aby zweryfikować fakt prowadzenia działalności i utrzymania miejsc pracy.  </w:t>
      </w:r>
    </w:p>
    <w:p>
      <w:pPr>
        <w:numPr>
          <w:ilvl w:val="0"/>
          <w:numId w:val="26"/>
        </w:numPr>
        <w:spacing w:after="24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Monitoring trwałości utworzonych miejsc pracy oraz trwałości PS może odbywać się po zakończeniu realizacji projektu OWES. Trwałość podlega kontroli rezultatów zgodnie z postanowieniami umowy o dofinansowanie projektu z IZ.</w:t>
      </w:r>
    </w:p>
    <w:p>
      <w:pPr>
        <w:spacing w:after="0" w:line="276" w:lineRule="auto"/>
        <w:jc w:val="center"/>
        <w:rPr>
          <w:rFonts w:ascii="Arial Narrow" w:eastAsia="Arial" w:hAnsi="Arial Narrow" w:cs="Arial"/>
          <w:b/>
          <w:lang w:val="pl" w:eastAsia="pl-PL"/>
        </w:rPr>
      </w:pPr>
      <w:r>
        <w:rPr>
          <w:rFonts w:ascii="Arial Narrow" w:eastAsia="Arial" w:hAnsi="Arial Narrow" w:cs="Arial"/>
          <w:b/>
          <w:lang w:val="pl" w:eastAsia="pl-PL"/>
        </w:rPr>
        <w:t>§ 9</w:t>
      </w:r>
    </w:p>
    <w:p>
      <w:pPr>
        <w:keepNext/>
        <w:keepLines/>
        <w:spacing w:after="120" w:line="276" w:lineRule="auto"/>
        <w:jc w:val="center"/>
        <w:outlineLvl w:val="0"/>
        <w:rPr>
          <w:rFonts w:ascii="Arial Narrow" w:eastAsia="Arial" w:hAnsi="Arial Narrow" w:cs="Arial"/>
          <w:b/>
          <w:lang w:val="pl" w:eastAsia="pl-PL"/>
        </w:rPr>
      </w:pPr>
      <w:bookmarkStart w:id="20" w:name="_2s8eyo1" w:colFirst="0" w:colLast="0"/>
      <w:bookmarkStart w:id="21" w:name="_Toc175735247"/>
      <w:bookmarkEnd w:id="20"/>
      <w:r>
        <w:rPr>
          <w:rFonts w:ascii="Arial Narrow" w:eastAsia="Arial" w:hAnsi="Arial Narrow" w:cs="Arial"/>
          <w:b/>
          <w:lang w:val="pl" w:eastAsia="pl-PL"/>
        </w:rPr>
        <w:t>Zwrot środków</w:t>
      </w:r>
      <w:bookmarkEnd w:id="21"/>
    </w:p>
    <w:p>
      <w:pPr>
        <w:numPr>
          <w:ilvl w:val="0"/>
          <w:numId w:val="10"/>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Operator zażąda od Odbiorcy wsparcia zwrotu całości wypłaconego dofinansowania (bez względu na liczbę tworzonych nowych miejsc pracy) w przypadku, gdy:</w:t>
      </w:r>
    </w:p>
    <w:p>
      <w:pPr>
        <w:numPr>
          <w:ilvl w:val="0"/>
          <w:numId w:val="13"/>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w okresie utrzymania lub trwałości miejsc pracy Odbiorca wsparcia: </w:t>
      </w:r>
    </w:p>
    <w:p>
      <w:pPr>
        <w:numPr>
          <w:ilvl w:val="1"/>
          <w:numId w:val="35"/>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utraci status PS, </w:t>
      </w:r>
    </w:p>
    <w:p>
      <w:pPr>
        <w:numPr>
          <w:ilvl w:val="1"/>
          <w:numId w:val="35"/>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zaprzestanie prowadzenia działalności na terenie województwa warmińsko-mazurskiego, </w:t>
      </w:r>
    </w:p>
    <w:p>
      <w:pPr>
        <w:numPr>
          <w:ilvl w:val="1"/>
          <w:numId w:val="35"/>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zgłosi wniosek o likwidację,</w:t>
      </w:r>
    </w:p>
    <w:p>
      <w:pPr>
        <w:numPr>
          <w:ilvl w:val="1"/>
          <w:numId w:val="35"/>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zmieni formę prawną prowadzonej działalności, </w:t>
      </w:r>
    </w:p>
    <w:p>
      <w:pPr>
        <w:numPr>
          <w:ilvl w:val="1"/>
          <w:numId w:val="35"/>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wniesie przedsiębiorstwo lub jego część tytułem wkładu do innego podmiotu; </w:t>
      </w:r>
    </w:p>
    <w:p>
      <w:pPr>
        <w:numPr>
          <w:ilvl w:val="0"/>
          <w:numId w:val="13"/>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PES przekształcany w PS nie uzyska statusu PS w ciągu 6 miesięcy od dnia utworzenia pierwszego miejsca pracy;</w:t>
      </w:r>
    </w:p>
    <w:p>
      <w:pPr>
        <w:numPr>
          <w:ilvl w:val="0"/>
          <w:numId w:val="13"/>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nie zostanie spełniony warunek określony w umowie o udzielenie wsparcia finansowego na utworzenie i utrzymanie miejsc pracy dotyczący zwiększenia ogólnej liczby miejsc pracy w tym podmiocie </w:t>
      </w:r>
      <w:r>
        <w:rPr>
          <w:rFonts w:ascii="Arial Narrow" w:eastAsia="Tahoma" w:hAnsi="Arial Narrow" w:cs="Tahoma"/>
          <w:lang w:val="pl" w:eastAsia="pl-PL"/>
        </w:rPr>
        <w:br/>
        <w:t>co najmniej o liczbę miejsc pracy, na którą przyznano dofinansowanie;</w:t>
      </w:r>
    </w:p>
    <w:p>
      <w:pPr>
        <w:numPr>
          <w:ilvl w:val="0"/>
          <w:numId w:val="13"/>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w toku kontroli Operator wykaże, że Odbiorca wsparcia przedstawił fałszywe lub niepełne oświadczenie lub inny dokument albo dopuścił się innych nieprawidłowości w celu uzyskania wsparcia;</w:t>
      </w:r>
    </w:p>
    <w:p>
      <w:pPr>
        <w:numPr>
          <w:ilvl w:val="0"/>
          <w:numId w:val="13"/>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nastąpi podwójne finansowanie ze środkami z KPO lub FERS;</w:t>
      </w:r>
    </w:p>
    <w:p>
      <w:pPr>
        <w:numPr>
          <w:ilvl w:val="0"/>
          <w:numId w:val="13"/>
        </w:numPr>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lastRenderedPageBreak/>
        <w:t>Odbiorca wsparcia uniemożliwia lub utrudnia kontrolę faktu prowadzenia działalności oraz kontrolę utrzymania miejsca pracy.</w:t>
      </w:r>
    </w:p>
    <w:p>
      <w:pPr>
        <w:numPr>
          <w:ilvl w:val="0"/>
          <w:numId w:val="20"/>
        </w:numPr>
        <w:pBdr>
          <w:top w:val="nil"/>
          <w:left w:val="nil"/>
          <w:bottom w:val="nil"/>
          <w:right w:val="nil"/>
          <w:between w:val="nil"/>
        </w:pBdr>
        <w:spacing w:after="0" w:line="360" w:lineRule="auto"/>
        <w:ind w:right="-40"/>
        <w:jc w:val="both"/>
        <w:rPr>
          <w:rFonts w:ascii="Arial Narrow" w:eastAsia="Tahoma" w:hAnsi="Arial Narrow" w:cs="Tahoma"/>
          <w:color w:val="000000"/>
          <w:lang w:val="pl" w:eastAsia="pl-PL"/>
        </w:rPr>
      </w:pPr>
      <w:r>
        <w:rPr>
          <w:rFonts w:ascii="Arial Narrow" w:eastAsia="Tahoma" w:hAnsi="Arial Narrow" w:cs="Tahoma"/>
          <w:color w:val="000000"/>
          <w:lang w:val="pl" w:eastAsia="pl-PL"/>
        </w:rPr>
        <w:t>Jeżeli Odbiorca wsparcia nie utworzy miejsca pracy w ciągu 3 miesięcy od dnia wypłaty środków</w:t>
      </w:r>
      <w:r>
        <w:rPr>
          <w:rFonts w:ascii="Arial Narrow" w:eastAsia="Arial" w:hAnsi="Arial Narrow" w:cs="Tahoma"/>
          <w:color w:val="000000"/>
          <w:vertAlign w:val="superscript"/>
          <w:lang w:val="pl" w:eastAsia="pl-PL"/>
        </w:rPr>
        <w:footnoteReference w:id="21"/>
      </w:r>
      <w:r>
        <w:rPr>
          <w:rFonts w:ascii="Arial Narrow" w:eastAsia="Tahoma" w:hAnsi="Arial Narrow" w:cs="Tahoma"/>
          <w:color w:val="000000"/>
          <w:lang w:val="pl" w:eastAsia="pl-PL"/>
        </w:rPr>
        <w:t xml:space="preserve"> będzie zobowiązany do zwrotu kwoty wsparcia w odpowiadającej stawce jednostkowej, przyznanej na utworzenie tego miejsca pracy.</w:t>
      </w:r>
    </w:p>
    <w:p>
      <w:pPr>
        <w:numPr>
          <w:ilvl w:val="0"/>
          <w:numId w:val="20"/>
        </w:numPr>
        <w:pBdr>
          <w:top w:val="nil"/>
          <w:left w:val="nil"/>
          <w:bottom w:val="nil"/>
          <w:right w:val="nil"/>
          <w:between w:val="nil"/>
        </w:pBdr>
        <w:spacing w:after="0" w:line="360" w:lineRule="auto"/>
        <w:ind w:right="-40"/>
        <w:jc w:val="both"/>
        <w:rPr>
          <w:rFonts w:ascii="Arial Narrow" w:eastAsia="Tahoma" w:hAnsi="Arial Narrow" w:cs="Tahoma"/>
          <w:color w:val="000000"/>
          <w:lang w:val="pl" w:eastAsia="pl-PL"/>
        </w:rPr>
      </w:pPr>
      <w:r>
        <w:rPr>
          <w:rFonts w:ascii="Arial Narrow" w:eastAsia="Tahoma" w:hAnsi="Arial Narrow" w:cs="Tahoma"/>
          <w:color w:val="000000"/>
          <w:lang w:val="pl" w:eastAsia="pl-PL"/>
        </w:rPr>
        <w:t>Jeżeli Odbiorca wsparcia utworzy, ale nie utrzyma miejsca pracy przez okres 12 miesięcy od dnia utworzenia miejsca pracy, będzie zobowiązany do zwrotu kwoty wsparcia, odpowiadającej stawce jednostkowej na utworzenie i utrzymanie tego miejsca pracy.</w:t>
      </w:r>
    </w:p>
    <w:p>
      <w:pPr>
        <w:numPr>
          <w:ilvl w:val="0"/>
          <w:numId w:val="20"/>
        </w:numPr>
        <w:pBdr>
          <w:top w:val="nil"/>
          <w:left w:val="nil"/>
          <w:bottom w:val="nil"/>
          <w:right w:val="nil"/>
          <w:between w:val="nil"/>
        </w:pBdr>
        <w:spacing w:after="0" w:line="360" w:lineRule="auto"/>
        <w:ind w:right="-40"/>
        <w:jc w:val="both"/>
        <w:rPr>
          <w:rFonts w:ascii="Arial Narrow" w:eastAsia="Tahoma" w:hAnsi="Arial Narrow" w:cs="Tahoma"/>
          <w:color w:val="000000"/>
          <w:lang w:val="pl" w:eastAsia="pl-PL"/>
        </w:rPr>
      </w:pPr>
      <w:r>
        <w:rPr>
          <w:rFonts w:ascii="Arial Narrow" w:eastAsia="Tahoma" w:hAnsi="Arial Narrow" w:cs="Tahoma"/>
          <w:color w:val="000000"/>
          <w:lang w:val="pl" w:eastAsia="pl-PL"/>
        </w:rPr>
        <w:t xml:space="preserve">W razie niezachowania okresu wymaganej trwałości miejsca pracy, Operator naliczy korekty finansowe proporcjonalnie do okresu niezachowania trwałości. </w:t>
      </w:r>
    </w:p>
    <w:p>
      <w:pPr>
        <w:numPr>
          <w:ilvl w:val="0"/>
          <w:numId w:val="20"/>
        </w:numPr>
        <w:pBdr>
          <w:top w:val="nil"/>
          <w:left w:val="nil"/>
          <w:bottom w:val="nil"/>
          <w:right w:val="nil"/>
          <w:between w:val="nil"/>
        </w:pBdr>
        <w:spacing w:after="240" w:line="360" w:lineRule="auto"/>
        <w:ind w:right="-40"/>
        <w:jc w:val="both"/>
        <w:rPr>
          <w:rFonts w:ascii="Arial Narrow" w:eastAsia="Tahoma" w:hAnsi="Arial Narrow" w:cs="Tahoma"/>
          <w:color w:val="000000"/>
          <w:lang w:val="pl" w:eastAsia="pl-PL"/>
        </w:rPr>
      </w:pPr>
      <w:r>
        <w:rPr>
          <w:rFonts w:ascii="Arial Narrow" w:eastAsia="Tahoma" w:hAnsi="Arial Narrow" w:cs="Tahoma"/>
          <w:color w:val="000000"/>
          <w:lang w:val="pl" w:eastAsia="pl-PL"/>
        </w:rPr>
        <w:t xml:space="preserve">W sytuacjach opisanych powyżej, Odbiorca wsparcia będzie zobowiązany do zwrotu środków wraz z odsetkami liczonymi jak dla zaległości podatkowych, naliczonymi od dnia otrzymania przyznanych środków, w terminie </w:t>
      </w:r>
      <w:r>
        <w:rPr>
          <w:rFonts w:ascii="Arial Narrow" w:eastAsia="Tahoma" w:hAnsi="Arial Narrow" w:cs="Tahoma"/>
          <w:color w:val="000000"/>
          <w:lang w:val="pl" w:eastAsia="pl-PL"/>
        </w:rPr>
        <w:br/>
        <w:t xml:space="preserve">30 dni od dnia otrzymania wezwania od Operatora na rachunek bankowy wskazany w tym wezwaniu. </w:t>
      </w:r>
    </w:p>
    <w:p>
      <w:pPr>
        <w:spacing w:after="0" w:line="276" w:lineRule="auto"/>
        <w:jc w:val="center"/>
        <w:rPr>
          <w:rFonts w:ascii="Arial Narrow" w:eastAsia="Arial" w:hAnsi="Arial Narrow" w:cs="Arial"/>
          <w:b/>
          <w:color w:val="FF0000"/>
          <w:lang w:val="pl" w:eastAsia="pl-PL"/>
        </w:rPr>
      </w:pPr>
      <w:r>
        <w:rPr>
          <w:rFonts w:ascii="Arial Narrow" w:eastAsia="Arial" w:hAnsi="Arial Narrow" w:cs="Arial"/>
          <w:b/>
          <w:lang w:val="pl" w:eastAsia="pl-PL"/>
        </w:rPr>
        <w:t>§ 10</w:t>
      </w:r>
    </w:p>
    <w:p>
      <w:pPr>
        <w:keepNext/>
        <w:keepLines/>
        <w:spacing w:after="120" w:line="276" w:lineRule="auto"/>
        <w:jc w:val="center"/>
        <w:outlineLvl w:val="0"/>
        <w:rPr>
          <w:rFonts w:ascii="Arial Narrow" w:eastAsia="Arial" w:hAnsi="Arial Narrow" w:cs="Arial"/>
          <w:b/>
          <w:lang w:val="pl" w:eastAsia="pl-PL"/>
        </w:rPr>
      </w:pPr>
      <w:bookmarkStart w:id="22" w:name="_17dp8vu" w:colFirst="0" w:colLast="0"/>
      <w:bookmarkStart w:id="23" w:name="_Toc175735248"/>
      <w:bookmarkEnd w:id="22"/>
      <w:r>
        <w:rPr>
          <w:rFonts w:ascii="Arial Narrow" w:eastAsia="Arial" w:hAnsi="Arial Narrow" w:cs="Arial"/>
          <w:b/>
          <w:lang w:val="pl" w:eastAsia="pl-PL"/>
        </w:rPr>
        <w:t>Zasady dotyczące weryfikacji braku podwójnego finansowania</w:t>
      </w:r>
      <w:bookmarkEnd w:id="23"/>
    </w:p>
    <w:p>
      <w:pPr>
        <w:widowControl w:val="0"/>
        <w:numPr>
          <w:ilvl w:val="0"/>
          <w:numId w:val="19"/>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Podwójne finansowanie, o którym mowa w § 1 ust. 14 nie wystąpi, jeżeli:</w:t>
      </w:r>
    </w:p>
    <w:p>
      <w:pPr>
        <w:widowControl w:val="0"/>
        <w:numPr>
          <w:ilvl w:val="0"/>
          <w:numId w:val="36"/>
        </w:numPr>
        <w:tabs>
          <w:tab w:val="left" w:pos="1418"/>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PES/PS nie wnioskował, ani nie otrzymał środków w ramach KPO lub FERS – na potwierdzenie czego PES składa oświadczenie, że: nie wnioskował, nie wnioskuje, ani nie otrzymał środków KPO lub FERS;</w:t>
      </w:r>
    </w:p>
    <w:p>
      <w:pPr>
        <w:widowControl w:val="0"/>
        <w:numPr>
          <w:ilvl w:val="0"/>
          <w:numId w:val="36"/>
        </w:numPr>
        <w:tabs>
          <w:tab w:val="left" w:pos="1418"/>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PES otrzymał wcześniej środki lub złożył wniosek o środki w ramach KPO lub FERS, ale wnioskuje do OWES o wsparcie finansowe bezzwrotne ze środków EFS+</w:t>
      </w:r>
    </w:p>
    <w:p>
      <w:pPr>
        <w:widowControl w:val="0"/>
        <w:numPr>
          <w:ilvl w:val="2"/>
          <w:numId w:val="22"/>
        </w:numPr>
        <w:tabs>
          <w:tab w:val="left" w:pos="1108"/>
        </w:tabs>
        <w:spacing w:after="0" w:line="360" w:lineRule="auto"/>
        <w:ind w:left="1842" w:right="-40"/>
        <w:jc w:val="both"/>
        <w:rPr>
          <w:rFonts w:ascii="Arial Narrow" w:eastAsia="Tahoma" w:hAnsi="Arial Narrow" w:cs="Tahoma"/>
          <w:lang w:val="pl" w:eastAsia="pl-PL"/>
        </w:rPr>
      </w:pPr>
      <w:r>
        <w:rPr>
          <w:rFonts w:ascii="Arial Narrow" w:eastAsia="Tahoma" w:hAnsi="Arial Narrow" w:cs="Tahoma"/>
          <w:lang w:val="pl" w:eastAsia="pl-PL"/>
        </w:rPr>
        <w:t xml:space="preserve">po upływie 6 miesięcy od dnia zatwierdzenia wniosku o środki w ramach KPO, a wsparcie w ramach KPO zostało rozliczone przez ministra właściwego do spraw zabezpieczenia społecznego – na potwierdzenie czego PES składa zatwierdzone przez ministra wniosek </w:t>
      </w:r>
      <w:r>
        <w:rPr>
          <w:rFonts w:ascii="Arial Narrow" w:eastAsia="Tahoma" w:hAnsi="Arial Narrow" w:cs="Tahoma"/>
          <w:lang w:val="pl" w:eastAsia="pl-PL"/>
        </w:rPr>
        <w:br/>
        <w:t>o środki KPO oraz rozliczenie wsparcia z KPO lub</w:t>
      </w:r>
    </w:p>
    <w:p>
      <w:pPr>
        <w:widowControl w:val="0"/>
        <w:numPr>
          <w:ilvl w:val="2"/>
          <w:numId w:val="22"/>
        </w:numPr>
        <w:tabs>
          <w:tab w:val="left" w:pos="1108"/>
        </w:tabs>
        <w:spacing w:after="0" w:line="360" w:lineRule="auto"/>
        <w:ind w:left="1842" w:right="-40"/>
        <w:jc w:val="both"/>
        <w:rPr>
          <w:rFonts w:ascii="Arial Narrow" w:eastAsia="Tahoma" w:hAnsi="Arial Narrow" w:cs="Tahoma"/>
          <w:lang w:val="pl" w:eastAsia="pl-PL"/>
        </w:rPr>
      </w:pPr>
      <w:r>
        <w:rPr>
          <w:rFonts w:ascii="Arial Narrow" w:eastAsia="Tahoma" w:hAnsi="Arial Narrow" w:cs="Tahoma"/>
          <w:lang w:val="pl" w:eastAsia="pl-PL"/>
        </w:rPr>
        <w:t xml:space="preserve">przed upływem 6 miesięcy od dnia zatwierdzenia wniosku o środki w ramach KPO, lecz zlecony przez PES (na jego koszt) audyt zewnętrzny potwierdzi brak podwójnego finansowania – na potwierdzenie czego przedłoży wyniki audytu zewnętrznego (tj. raport </w:t>
      </w:r>
      <w:r>
        <w:rPr>
          <w:rFonts w:ascii="Arial Narrow" w:eastAsia="Tahoma" w:hAnsi="Arial Narrow" w:cs="Tahoma"/>
          <w:lang w:val="pl" w:eastAsia="pl-PL"/>
        </w:rPr>
        <w:br/>
        <w:t>z opinii biegłego rewidenta) w ramach rozliczenia środków KPO i EFS+, pod warunkiem niekwalifikowania wsparcia bezzwrotnego ze środków EFS+ lub</w:t>
      </w:r>
    </w:p>
    <w:p>
      <w:pPr>
        <w:widowControl w:val="0"/>
        <w:numPr>
          <w:ilvl w:val="2"/>
          <w:numId w:val="22"/>
        </w:numPr>
        <w:tabs>
          <w:tab w:val="left" w:pos="1108"/>
        </w:tabs>
        <w:spacing w:after="0" w:line="360" w:lineRule="auto"/>
        <w:ind w:left="1842" w:right="-40"/>
        <w:jc w:val="both"/>
        <w:rPr>
          <w:rFonts w:ascii="Arial Narrow" w:eastAsia="Tahoma" w:hAnsi="Arial Narrow" w:cs="Tahoma"/>
          <w:lang w:val="pl" w:eastAsia="pl-PL"/>
        </w:rPr>
      </w:pPr>
      <w:r>
        <w:rPr>
          <w:rFonts w:ascii="Arial Narrow" w:eastAsia="Tahoma" w:hAnsi="Arial Narrow" w:cs="Tahoma"/>
          <w:lang w:val="pl" w:eastAsia="pl-PL"/>
        </w:rPr>
        <w:t>po upływie 6 miesięcy od dnia zawarcia umowy pożyczki FERS lub</w:t>
      </w:r>
    </w:p>
    <w:p>
      <w:pPr>
        <w:widowControl w:val="0"/>
        <w:numPr>
          <w:ilvl w:val="2"/>
          <w:numId w:val="22"/>
        </w:numPr>
        <w:tabs>
          <w:tab w:val="left" w:pos="1108"/>
        </w:tabs>
        <w:spacing w:after="0" w:line="360" w:lineRule="auto"/>
        <w:ind w:left="1842" w:right="-40"/>
        <w:jc w:val="both"/>
        <w:rPr>
          <w:rFonts w:ascii="Arial Narrow" w:eastAsia="Tahoma" w:hAnsi="Arial Narrow" w:cs="Tahoma"/>
          <w:lang w:val="pl" w:eastAsia="pl-PL"/>
        </w:rPr>
      </w:pPr>
      <w:r>
        <w:rPr>
          <w:rFonts w:ascii="Arial Narrow" w:eastAsia="Tahoma" w:hAnsi="Arial Narrow" w:cs="Tahoma"/>
          <w:lang w:val="pl" w:eastAsia="pl-PL"/>
        </w:rPr>
        <w:lastRenderedPageBreak/>
        <w:t xml:space="preserve">w zakresie innym niż w ramach FERS, na potwierdzenie czego PES składa oświadczenie </w:t>
      </w:r>
      <w:r>
        <w:rPr>
          <w:rFonts w:ascii="Arial Narrow" w:eastAsia="Tahoma" w:hAnsi="Arial Narrow" w:cs="Tahoma"/>
          <w:lang w:val="pl" w:eastAsia="pl-PL"/>
        </w:rPr>
        <w:br/>
        <w:t>o braku podwójnego finansowania oraz załącza umowę pożyczki FERS lub inny dokument określający cel lub zakres inwestycji, zatwierdzony przez właściwego pośrednika finansowego.</w:t>
      </w:r>
    </w:p>
    <w:p>
      <w:pPr>
        <w:widowControl w:val="0"/>
        <w:numPr>
          <w:ilvl w:val="0"/>
          <w:numId w:val="19"/>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OWES weryfikuje dokumenty, o których mowa w ust 1, w szczególności prawdziwość składanych przez PES oświadczeń w oparciu o listę beneficjentów KPO prowadzoną przez ministra właściwego do spraw zabezpieczenia społecznego i udostępnioną na stronie internetowej urzędu obsługującego tego ministra lub </w:t>
      </w:r>
      <w:r>
        <w:rPr>
          <w:rFonts w:ascii="Arial Narrow" w:eastAsia="Tahoma" w:hAnsi="Arial Narrow" w:cs="Tahoma"/>
          <w:lang w:val="pl" w:eastAsia="pl-PL"/>
        </w:rPr>
        <w:br/>
        <w:t>w oparciu o informacje o udzielonych pożyczkach w ramach FERS opracowaną przez pośredników finansowych i udostępnioną na stronie internetowej Banku Gospodarstwa Krajowego lub w oparciu o informacje dostępne w Systemie Udostępniania Danych o Pomocy Publicznej (SUDOP).</w:t>
      </w:r>
    </w:p>
    <w:p>
      <w:pPr>
        <w:widowControl w:val="0"/>
        <w:numPr>
          <w:ilvl w:val="0"/>
          <w:numId w:val="19"/>
        </w:numPr>
        <w:tabs>
          <w:tab w:val="left" w:pos="750"/>
        </w:tabs>
        <w:spacing w:after="0" w:line="360" w:lineRule="auto"/>
        <w:ind w:left="357" w:right="-40" w:hanging="357"/>
        <w:jc w:val="both"/>
        <w:rPr>
          <w:rFonts w:ascii="Arial Narrow" w:eastAsia="Tahoma" w:hAnsi="Arial Narrow" w:cs="Tahoma"/>
          <w:lang w:val="pl" w:eastAsia="pl-PL"/>
        </w:rPr>
      </w:pPr>
      <w:r>
        <w:rPr>
          <w:rFonts w:ascii="Arial Narrow" w:eastAsia="Tahoma" w:hAnsi="Arial Narrow" w:cs="Tahoma"/>
          <w:lang w:val="pl" w:eastAsia="pl-PL"/>
        </w:rPr>
        <w:t>OWES na swojej stronie internetowej publikuje listy podmiotów, które otrzymały wsparcie finansowe na utworzenie i utrzymanie miejsca pracy w PS, wraz z informacją o dacie przyznania tego wsparcia i jego zakresie. OWES informuje ministra właściwego do spraw zabezpieczenia społecznego o adresie swojej strony internetowej. OWES aktualizuje listę niezwłocznie, nie później jednak niż do 3 dni roboczych od momentu przyznania wsparcia finansowego na utworzenie i utrzymanie miejsca pracy w PS.</w:t>
      </w:r>
    </w:p>
    <w:p>
      <w:pPr>
        <w:widowControl w:val="0"/>
        <w:numPr>
          <w:ilvl w:val="0"/>
          <w:numId w:val="19"/>
        </w:numPr>
        <w:tabs>
          <w:tab w:val="left" w:pos="750"/>
        </w:tabs>
        <w:spacing w:after="24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Na wniosek podmiotu, któremu przyznano wsparcie, OWES wydaje niezwłocznie pisemne potwierdzenie </w:t>
      </w:r>
      <w:r>
        <w:rPr>
          <w:rFonts w:ascii="Arial Narrow" w:eastAsia="Tahoma" w:hAnsi="Arial Narrow" w:cs="Tahoma"/>
          <w:lang w:val="pl" w:eastAsia="pl-PL"/>
        </w:rPr>
        <w:br/>
        <w:t xml:space="preserve">o udzielonym w ramach EFS+ wsparciu finansowym, w przypadku wnioskowania przez te podmiot </w:t>
      </w:r>
      <w:r>
        <w:rPr>
          <w:rFonts w:ascii="Arial Narrow" w:eastAsia="Tahoma" w:hAnsi="Arial Narrow" w:cs="Tahoma"/>
          <w:lang w:val="pl" w:eastAsia="pl-PL"/>
        </w:rPr>
        <w:br/>
        <w:t>o środki przeznaczone na wsparcie ekonomii społecznej w ramach KPO lub FERS.</w:t>
      </w:r>
    </w:p>
    <w:p>
      <w:pPr>
        <w:spacing w:after="0" w:line="276" w:lineRule="auto"/>
        <w:jc w:val="center"/>
        <w:rPr>
          <w:rFonts w:ascii="Arial Narrow" w:eastAsia="Arial" w:hAnsi="Arial Narrow" w:cs="Arial"/>
          <w:b/>
          <w:lang w:val="pl" w:eastAsia="pl-PL"/>
        </w:rPr>
      </w:pPr>
      <w:r>
        <w:rPr>
          <w:rFonts w:ascii="Arial Narrow" w:eastAsia="Arial" w:hAnsi="Arial Narrow" w:cs="Arial"/>
          <w:b/>
          <w:lang w:val="pl" w:eastAsia="pl-PL"/>
        </w:rPr>
        <w:t>§ 11</w:t>
      </w:r>
    </w:p>
    <w:p>
      <w:pPr>
        <w:keepNext/>
        <w:keepLines/>
        <w:spacing w:after="120" w:line="276" w:lineRule="auto"/>
        <w:jc w:val="center"/>
        <w:outlineLvl w:val="0"/>
        <w:rPr>
          <w:rFonts w:ascii="Arial Narrow" w:eastAsia="Arial" w:hAnsi="Arial Narrow" w:cs="Arial"/>
          <w:b/>
          <w:lang w:val="pl" w:eastAsia="pl-PL"/>
        </w:rPr>
      </w:pPr>
      <w:bookmarkStart w:id="24" w:name="_3rdcrjn"/>
      <w:bookmarkStart w:id="25" w:name="_Toc175735249"/>
      <w:bookmarkEnd w:id="24"/>
      <w:r>
        <w:rPr>
          <w:rFonts w:ascii="Arial Narrow" w:eastAsia="Arial" w:hAnsi="Arial Narrow" w:cs="Arial"/>
          <w:b/>
          <w:lang w:val="pl" w:eastAsia="pl-PL"/>
        </w:rPr>
        <w:t>Wsparcie reintegracyjne – zasady ogólne</w:t>
      </w:r>
      <w:bookmarkEnd w:id="25"/>
    </w:p>
    <w:p>
      <w:pPr>
        <w:widowControl w:val="0"/>
        <w:numPr>
          <w:ilvl w:val="0"/>
          <w:numId w:val="15"/>
        </w:numPr>
        <w:tabs>
          <w:tab w:val="left" w:pos="750"/>
        </w:tabs>
        <w:spacing w:after="0" w:line="360" w:lineRule="auto"/>
        <w:ind w:left="357" w:right="-40" w:hanging="357"/>
        <w:jc w:val="both"/>
        <w:rPr>
          <w:rFonts w:ascii="Arial Narrow" w:eastAsia="Tahoma" w:hAnsi="Arial Narrow" w:cs="Tahoma"/>
          <w:lang w:val="pl" w:eastAsia="pl-PL"/>
        </w:rPr>
      </w:pPr>
      <w:r>
        <w:rPr>
          <w:rFonts w:ascii="Arial Narrow" w:eastAsia="Tahoma" w:hAnsi="Arial Narrow" w:cs="Tahoma"/>
          <w:lang w:val="pl" w:eastAsia="pl-PL"/>
        </w:rPr>
        <w:t xml:space="preserve">OWES może zapewnić dofinansowanie realizacji IPR, o którym mowa w art. 6 ust. 1 ustawy z dnia </w:t>
      </w:r>
      <w:r>
        <w:rPr>
          <w:rFonts w:ascii="Arial Narrow" w:eastAsia="Tahoma" w:hAnsi="Arial Narrow" w:cs="Tahoma"/>
          <w:lang w:val="pl" w:eastAsia="pl-PL"/>
        </w:rPr>
        <w:br/>
        <w:t>5 sierpnia 2022 r. o ekonomii społecznej. Dofinansowanie IPR jest powiązane z wypłatą wsparcia reintegracyjnego, które w całym okresie realizacji planu wynosi do 300% minimalnego wynagrodzenia za pracę na jednego pracownika, o którym mowa w §1 ust. 3.</w:t>
      </w:r>
    </w:p>
    <w:p>
      <w:pPr>
        <w:widowControl w:val="0"/>
        <w:numPr>
          <w:ilvl w:val="0"/>
          <w:numId w:val="15"/>
        </w:numPr>
        <w:spacing w:after="0" w:line="360" w:lineRule="auto"/>
        <w:ind w:left="266" w:right="-40" w:hanging="357"/>
        <w:jc w:val="both"/>
        <w:rPr>
          <w:rFonts w:ascii="Arial Narrow" w:eastAsia="Tahoma" w:hAnsi="Arial Narrow" w:cs="Tahoma"/>
          <w:lang w:val="pl" w:eastAsia="pl-PL"/>
        </w:rPr>
      </w:pPr>
      <w:r>
        <w:rPr>
          <w:rFonts w:ascii="Arial Narrow" w:eastAsia="Tahoma" w:hAnsi="Arial Narrow" w:cs="Tahoma"/>
          <w:lang w:val="pl" w:eastAsia="pl-PL"/>
        </w:rPr>
        <w:t>Wsparcie dotyczy wyłącznie nowych pracowników i może być świadczone bez przyznawania wsparcia finansowego na utworzenie i utrzymanie miejsca pracy w PS. Za nowego pracownika uznawana jest osoba zatrudniona w PS nie wcześniej niż 6 miesięcy przed dniem złożenia wniosku o wsparcie reintegracyjne. Wsparcie, o którym mowa w zdaniu pierwszym, dotyczy wyłącznie nowych pracowników Odbiorcy wsparcia, będących w momencie zatrudnienia osobami preferowanymi do wsparcia.</w:t>
      </w:r>
    </w:p>
    <w:p>
      <w:pPr>
        <w:widowControl w:val="0"/>
        <w:numPr>
          <w:ilvl w:val="0"/>
          <w:numId w:val="15"/>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Usługi finansowane w ramach wsparcia reintegracyjnego dotyczą bezpośrednio pracownika lub zespołu PS </w:t>
      </w:r>
      <w:r>
        <w:rPr>
          <w:rFonts w:ascii="Arial Narrow" w:eastAsia="Tahoma" w:hAnsi="Arial Narrow" w:cs="Tahoma"/>
          <w:lang w:val="pl" w:eastAsia="pl-PL"/>
        </w:rPr>
        <w:br/>
        <w:t>i mają na celu zwiększenie możliwości udziału w życiu społecznym i zawodowym osoby objętej IPR.</w:t>
      </w:r>
    </w:p>
    <w:p>
      <w:pPr>
        <w:widowControl w:val="0"/>
        <w:numPr>
          <w:ilvl w:val="0"/>
          <w:numId w:val="15"/>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Wsparcie reintegracyjne może być wypłacane wyłącznie w okresie realizacji IPR. </w:t>
      </w:r>
    </w:p>
    <w:p>
      <w:pPr>
        <w:widowControl w:val="0"/>
        <w:numPr>
          <w:ilvl w:val="0"/>
          <w:numId w:val="15"/>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PS ma obowiązek zapewnienia możliwości prowadzenia spotkań kadry OWES z osobami, dla których stworzono </w:t>
      </w:r>
      <w:r>
        <w:rPr>
          <w:rFonts w:ascii="Arial Narrow" w:eastAsia="Tahoma" w:hAnsi="Arial Narrow" w:cs="Tahoma"/>
          <w:lang w:val="pl" w:eastAsia="pl-PL"/>
        </w:rPr>
        <w:lastRenderedPageBreak/>
        <w:t>miejsca pracy w ramach wsparcia finansowego na utworzenie i utrzymanie miejsc pracy m.in. w celu opracowania i realizacji wsparcia przewidzianego w IPR. Powyższe spotkania będą mogły się odbywać również w godzinach pracy ww. osób.</w:t>
      </w:r>
    </w:p>
    <w:p>
      <w:pPr>
        <w:widowControl w:val="0"/>
        <w:numPr>
          <w:ilvl w:val="0"/>
          <w:numId w:val="15"/>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Katalog wydatków w ramach wsparcia reintegracyjnego ma charakter otwarty, ale powinien mieć logiczny związek z potrzebami osoby wynikającymi z diagnozy zawartej w IPR.</w:t>
      </w:r>
    </w:p>
    <w:p>
      <w:pPr>
        <w:widowControl w:val="0"/>
        <w:numPr>
          <w:ilvl w:val="0"/>
          <w:numId w:val="15"/>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Operator zastrzega, że w pierwszej kolejności realizacja usług wskazanych w IPR musi być zlecona wykonawcom będącym podmiotami zatrudnienia socjalnego, tj. centrom integracji społecznej (CIS) lub klubom integracji społecznej (KIS), przy czym CIS lub KIS muszą bezpośrednio realizować daną usługę, a nie być organizatorem tych usług. Jeśli usługa reintegracyjna zawarta w IPR nie jest możliwa do zrealizowania przez CIS lub KIS, to możliwe jest zakupienie usługi od innych wykonawców. Wybór wykonawców oraz realizacja poszczególnych usług musi odbywać się w ścisłej współpracy z pracownikiem odpowiedzialnym za działania reintegracyjne zatrudnionym u Operatora. </w:t>
      </w:r>
    </w:p>
    <w:p>
      <w:pPr>
        <w:widowControl w:val="0"/>
        <w:numPr>
          <w:ilvl w:val="0"/>
          <w:numId w:val="15"/>
        </w:numPr>
        <w:tabs>
          <w:tab w:val="left" w:pos="750"/>
        </w:tabs>
        <w:spacing w:after="24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Wsparcie reintegracyjne w ramach dofinansowania realizacji IPR będzie dokonywane w drodze refundowania przez OWES wydatków przedłożonych przez PS na realizację IPR, zgodnie z właściwym dla danego uczestnika zapotrzebowaniem. Refundacja wydatków będzie dokonywana na bieżąco wraz z realizacją założeń wynikających z IPR, pod warunkiem zapewnienia zgodności z podstawowymi warunkami kwalifikowalności wydatków, w tym ich racjonalności i efektywności oraz zapewnienia podstawy do przekazywania środków na cele związane z realizacją IPR.</w:t>
      </w:r>
    </w:p>
    <w:p>
      <w:pPr>
        <w:spacing w:after="0" w:line="276" w:lineRule="auto"/>
        <w:jc w:val="center"/>
        <w:rPr>
          <w:rFonts w:ascii="Arial Narrow" w:eastAsia="Arial" w:hAnsi="Arial Narrow" w:cs="Arial"/>
          <w:b/>
          <w:lang w:val="pl" w:eastAsia="pl-PL"/>
        </w:rPr>
      </w:pPr>
      <w:r>
        <w:rPr>
          <w:rFonts w:ascii="Arial Narrow" w:eastAsia="Arial" w:hAnsi="Arial Narrow" w:cs="Arial"/>
          <w:b/>
          <w:lang w:val="pl" w:eastAsia="pl-PL"/>
        </w:rPr>
        <w:t>§ 12</w:t>
      </w:r>
    </w:p>
    <w:p>
      <w:pPr>
        <w:keepNext/>
        <w:keepLines/>
        <w:spacing w:after="120" w:line="276" w:lineRule="auto"/>
        <w:jc w:val="center"/>
        <w:outlineLvl w:val="0"/>
        <w:rPr>
          <w:rFonts w:ascii="Arial Narrow" w:eastAsia="Arial" w:hAnsi="Arial Narrow" w:cs="Arial"/>
          <w:b/>
          <w:lang w:val="pl" w:eastAsia="pl-PL"/>
        </w:rPr>
      </w:pPr>
      <w:bookmarkStart w:id="26" w:name="_26in1rg" w:colFirst="0" w:colLast="0"/>
      <w:bookmarkStart w:id="27" w:name="_Toc175735250"/>
      <w:bookmarkEnd w:id="26"/>
      <w:r>
        <w:rPr>
          <w:rFonts w:ascii="Arial Narrow" w:eastAsia="Arial" w:hAnsi="Arial Narrow" w:cs="Arial"/>
          <w:b/>
          <w:lang w:val="pl" w:eastAsia="pl-PL"/>
        </w:rPr>
        <w:t>Procedura udzielania wsparcia reintegracyjnego</w:t>
      </w:r>
      <w:bookmarkEnd w:id="27"/>
    </w:p>
    <w:p>
      <w:pPr>
        <w:widowControl w:val="0"/>
        <w:numPr>
          <w:ilvl w:val="0"/>
          <w:numId w:val="12"/>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Wsparcie reintegracyjne udzielane jest na wniosek PS. </w:t>
      </w:r>
    </w:p>
    <w:p>
      <w:pPr>
        <w:widowControl w:val="0"/>
        <w:numPr>
          <w:ilvl w:val="0"/>
          <w:numId w:val="12"/>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Nabór wniosków prowadzony jest w trybie ciągłym. OWES informuje potencjalnych Odbiorców wsparcia reintegracyjnego o rozpoczęciu naboru wniosków o udzielenie wsparcia reintegracyjnego poprzez zamieszczenie informacji na stronie internetowej projektu.</w:t>
      </w:r>
    </w:p>
    <w:p>
      <w:pPr>
        <w:widowControl w:val="0"/>
        <w:numPr>
          <w:ilvl w:val="0"/>
          <w:numId w:val="12"/>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Ogłoszenie zawiera m.in. termin rozpoczęcia i zakończenia naboru, wykaz i wzory wymaganych dokumentów, miejsce przyjmowania dokumentów oraz formę składania wniosków.</w:t>
      </w:r>
    </w:p>
    <w:p>
      <w:pPr>
        <w:widowControl w:val="0"/>
        <w:numPr>
          <w:ilvl w:val="0"/>
          <w:numId w:val="12"/>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OWES dokonuje oceny złożonych wniosków w terminie wskazanym w ogłoszeniu o naborze, nie dłuższym jednak niż 14 dni od wpłynięcia wniosku.</w:t>
      </w:r>
    </w:p>
    <w:p>
      <w:pPr>
        <w:widowControl w:val="0"/>
        <w:numPr>
          <w:ilvl w:val="0"/>
          <w:numId w:val="12"/>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OWES zastrzega sobie prawo do udzielenia wsparcia w kwocie niższej niż wnioskowana.</w:t>
      </w:r>
    </w:p>
    <w:p>
      <w:pPr>
        <w:widowControl w:val="0"/>
        <w:numPr>
          <w:ilvl w:val="0"/>
          <w:numId w:val="12"/>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Wsparcie zostanie udzielone podmiotom, które złożą prawidłowo wypełniony wniosek, otrzymają pozytywną opinię pracownika odpowiedzialnego za reintegrację zatrudnionego u Operatora oraz podpiszą umowę </w:t>
      </w:r>
      <w:r>
        <w:rPr>
          <w:rFonts w:ascii="Arial Narrow" w:eastAsia="Tahoma" w:hAnsi="Arial Narrow" w:cs="Tahoma"/>
          <w:lang w:val="pl" w:eastAsia="pl-PL"/>
        </w:rPr>
        <w:br/>
        <w:t xml:space="preserve">o przyznanie wsparcia reintegracyjnego z OWES. </w:t>
      </w:r>
    </w:p>
    <w:p>
      <w:pPr>
        <w:widowControl w:val="0"/>
        <w:numPr>
          <w:ilvl w:val="0"/>
          <w:numId w:val="12"/>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W przypadku przyznania ww. wsparcia OWES zobowiązuje w umowie PS do wykazania, że w przypadku </w:t>
      </w:r>
      <w:r>
        <w:rPr>
          <w:rFonts w:ascii="Arial Narrow" w:eastAsia="Tahoma" w:hAnsi="Arial Narrow" w:cs="Tahoma"/>
          <w:lang w:val="pl" w:eastAsia="pl-PL"/>
        </w:rPr>
        <w:lastRenderedPageBreak/>
        <w:t>wypłaty wsparcia reintegracyjnego nie występuje podwójne finansowanie ze wsparciem finansowym na utworzenie i utrzymanie miejsca pracy w PS. Szczegółowe zasady określa umowa łącząca OWES z PS zgodnie z załącznikiem nr 6 do Regulaminu.</w:t>
      </w:r>
    </w:p>
    <w:p>
      <w:pPr>
        <w:widowControl w:val="0"/>
        <w:numPr>
          <w:ilvl w:val="0"/>
          <w:numId w:val="12"/>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 xml:space="preserve">Wydatki w ramach wsparcia reintegracyjnego powinny być ponoszone w sposób przejrzysty, racjonalny </w:t>
      </w:r>
      <w:r>
        <w:rPr>
          <w:rFonts w:ascii="Arial Narrow" w:eastAsia="Tahoma" w:hAnsi="Arial Narrow" w:cs="Tahoma"/>
          <w:lang w:val="pl" w:eastAsia="pl-PL"/>
        </w:rPr>
        <w:br/>
        <w:t xml:space="preserve">i efektywny, z zachowaniem zasad uzyskiwania najlepszych efektów z danych nakładów. </w:t>
      </w:r>
    </w:p>
    <w:p>
      <w:pPr>
        <w:widowControl w:val="0"/>
        <w:numPr>
          <w:ilvl w:val="0"/>
          <w:numId w:val="12"/>
        </w:numPr>
        <w:tabs>
          <w:tab w:val="left" w:pos="750"/>
        </w:tabs>
        <w:spacing w:after="0" w:line="360" w:lineRule="auto"/>
        <w:ind w:right="-40"/>
        <w:jc w:val="both"/>
        <w:rPr>
          <w:rFonts w:ascii="Arial Narrow" w:eastAsia="Tahoma" w:hAnsi="Arial Narrow" w:cs="Tahoma"/>
          <w:lang w:val="pl" w:eastAsia="pl-PL"/>
        </w:rPr>
      </w:pPr>
      <w:bookmarkStart w:id="28" w:name="_Hlk156314722"/>
      <w:r>
        <w:rPr>
          <w:rFonts w:ascii="Arial Narrow" w:eastAsia="Tahoma" w:hAnsi="Arial Narrow" w:cs="Tahoma"/>
          <w:lang w:val="pl" w:eastAsia="pl-PL"/>
        </w:rPr>
        <w:t xml:space="preserve">Wsparcie finansowe, o którym mowa w § 2 pkt 1, może mieć charakter pomocy de </w:t>
      </w:r>
      <w:proofErr w:type="spellStart"/>
      <w:r>
        <w:rPr>
          <w:rFonts w:ascii="Arial Narrow" w:eastAsia="Tahoma" w:hAnsi="Arial Narrow" w:cs="Tahoma"/>
          <w:lang w:val="pl" w:eastAsia="pl-PL"/>
        </w:rPr>
        <w:t>minimis</w:t>
      </w:r>
      <w:proofErr w:type="spellEnd"/>
      <w:r>
        <w:rPr>
          <w:rFonts w:ascii="Arial Narrow" w:eastAsia="Tahoma" w:hAnsi="Arial Narrow" w:cs="Tahoma"/>
          <w:lang w:val="pl" w:eastAsia="pl-PL"/>
        </w:rPr>
        <w:t xml:space="preserve"> w rozumieniu rozporządzenia Komisji (UE) 2023/2831 z dnia 13 grudnia 2023 r. w sprawie stosowania art. 107 i 108 Traktatu</w:t>
      </w:r>
      <w:r>
        <w:rPr>
          <w:rFonts w:ascii="Arial Narrow" w:eastAsia="Tahoma" w:hAnsi="Arial Narrow" w:cs="Tahoma"/>
          <w:lang w:val="pl" w:eastAsia="pl-PL"/>
        </w:rPr>
        <w:br/>
        <w:t xml:space="preserve">o funkcjonowaniu Unii Europejskiej do pomocy de </w:t>
      </w:r>
      <w:proofErr w:type="spellStart"/>
      <w:r>
        <w:rPr>
          <w:rFonts w:ascii="Arial Narrow" w:eastAsia="Tahoma" w:hAnsi="Arial Narrow" w:cs="Tahoma"/>
          <w:lang w:val="pl" w:eastAsia="pl-PL"/>
        </w:rPr>
        <w:t>minimis</w:t>
      </w:r>
      <w:proofErr w:type="spellEnd"/>
      <w:r>
        <w:rPr>
          <w:rFonts w:ascii="Arial Narrow" w:eastAsia="Tahoma" w:hAnsi="Arial Narrow" w:cs="Tahoma"/>
          <w:lang w:val="pl" w:eastAsia="pl-PL"/>
        </w:rPr>
        <w:t xml:space="preserve"> (Dz. Urz. UE L, 2023/2831 z 15.12.2023). </w:t>
      </w:r>
      <w:bookmarkEnd w:id="28"/>
      <w:r>
        <w:rPr>
          <w:rFonts w:ascii="Arial Narrow" w:eastAsia="Tahoma" w:hAnsi="Arial Narrow" w:cs="Tahoma"/>
          <w:lang w:val="pl" w:eastAsia="pl-PL"/>
        </w:rPr>
        <w:br/>
        <w:t xml:space="preserve">W wypadku wystąpienia pomocy de </w:t>
      </w:r>
      <w:proofErr w:type="spellStart"/>
      <w:r>
        <w:rPr>
          <w:rFonts w:ascii="Arial Narrow" w:eastAsia="Tahoma" w:hAnsi="Arial Narrow" w:cs="Tahoma"/>
          <w:lang w:val="pl" w:eastAsia="pl-PL"/>
        </w:rPr>
        <w:t>minimis</w:t>
      </w:r>
      <w:proofErr w:type="spellEnd"/>
      <w:r>
        <w:rPr>
          <w:rFonts w:ascii="Arial Narrow" w:eastAsia="Tahoma" w:hAnsi="Arial Narrow" w:cs="Tahoma"/>
          <w:lang w:val="pl" w:eastAsia="pl-PL"/>
        </w:rPr>
        <w:t xml:space="preserve">, w dniu podpisania umowy o udzielenie wsparcia reintegracyjnego Operator wyda Odbiorcy wsparcia reintegracyjnego zaświadczenie o udzielonej pomocy de </w:t>
      </w:r>
      <w:proofErr w:type="spellStart"/>
      <w:r>
        <w:rPr>
          <w:rFonts w:ascii="Arial Narrow" w:eastAsia="Tahoma" w:hAnsi="Arial Narrow" w:cs="Tahoma"/>
          <w:lang w:val="pl" w:eastAsia="pl-PL"/>
        </w:rPr>
        <w:t>minimis</w:t>
      </w:r>
      <w:proofErr w:type="spellEnd"/>
      <w:r>
        <w:rPr>
          <w:rFonts w:ascii="Arial Narrow" w:eastAsia="Tahoma" w:hAnsi="Arial Narrow" w:cs="Tahoma"/>
          <w:lang w:val="pl" w:eastAsia="pl-PL"/>
        </w:rPr>
        <w:t xml:space="preserve"> zgodnie ze wzorem określonym w załączniku do rozporządzenia Rady Ministrów z dnia 20 marca 2007 r. w sprawie zaświadczeń o pomocy de </w:t>
      </w:r>
      <w:proofErr w:type="spellStart"/>
      <w:r>
        <w:rPr>
          <w:rFonts w:ascii="Arial Narrow" w:eastAsia="Tahoma" w:hAnsi="Arial Narrow" w:cs="Tahoma"/>
          <w:lang w:val="pl" w:eastAsia="pl-PL"/>
        </w:rPr>
        <w:t>minimis</w:t>
      </w:r>
      <w:proofErr w:type="spellEnd"/>
      <w:r>
        <w:rPr>
          <w:rFonts w:ascii="Arial Narrow" w:eastAsia="Tahoma" w:hAnsi="Arial Narrow" w:cs="Tahoma"/>
          <w:lang w:val="pl" w:eastAsia="pl-PL"/>
        </w:rPr>
        <w:t xml:space="preserve"> i pomocy de </w:t>
      </w:r>
      <w:proofErr w:type="spellStart"/>
      <w:r>
        <w:rPr>
          <w:rFonts w:ascii="Arial Narrow" w:eastAsia="Tahoma" w:hAnsi="Arial Narrow" w:cs="Tahoma"/>
          <w:lang w:val="pl" w:eastAsia="pl-PL"/>
        </w:rPr>
        <w:t>minimis</w:t>
      </w:r>
      <w:proofErr w:type="spellEnd"/>
      <w:r>
        <w:rPr>
          <w:rFonts w:ascii="Arial Narrow" w:eastAsia="Tahoma" w:hAnsi="Arial Narrow" w:cs="Tahoma"/>
          <w:lang w:val="pl" w:eastAsia="pl-PL"/>
        </w:rPr>
        <w:t xml:space="preserve"> w rolnictwie lub rybołówstwie </w:t>
      </w:r>
      <w:r>
        <w:rPr>
          <w:rFonts w:ascii="Arial Narrow" w:eastAsia="Tahoma" w:hAnsi="Arial Narrow" w:cs="Tahoma"/>
          <w:lang w:val="pl" w:eastAsia="pl-PL"/>
        </w:rPr>
        <w:br/>
        <w:t>(tj. Dz. U. Z 2018 r. Poz. 350).</w:t>
      </w:r>
    </w:p>
    <w:p>
      <w:pPr>
        <w:widowControl w:val="0"/>
        <w:numPr>
          <w:ilvl w:val="0"/>
          <w:numId w:val="12"/>
        </w:numPr>
        <w:tabs>
          <w:tab w:val="left" w:pos="750"/>
        </w:tabs>
        <w:spacing w:after="0" w:line="360" w:lineRule="auto"/>
        <w:ind w:right="-40"/>
        <w:jc w:val="both"/>
        <w:rPr>
          <w:rFonts w:ascii="Arial Narrow" w:eastAsia="Tahoma" w:hAnsi="Arial Narrow" w:cs="Tahoma"/>
          <w:lang w:val="pl" w:eastAsia="pl-PL"/>
        </w:rPr>
      </w:pPr>
      <w:r>
        <w:rPr>
          <w:rFonts w:ascii="Arial Narrow" w:eastAsia="Tahoma" w:hAnsi="Arial Narrow" w:cs="Tahoma"/>
          <w:lang w:val="pl" w:eastAsia="pl-PL"/>
        </w:rPr>
        <w:t>Wydatkowanie przyznanych środków na wsparcie reintegracyjne nie wiąże się z koniecznością dokonywania zakupów w oparciu o zasadę konkurencyjności wskazaną w Wytycznych dotyczących kwalifikowalności wydatków na lata 2021-2027, ani ustawę z dnia 11 września 2019 r. prawo zamówień publicznych (Dz.U. 2023 poz. 1605 ze zm.).</w:t>
      </w:r>
      <w:bookmarkStart w:id="29" w:name="_f4w56he1rigd" w:colFirst="0" w:colLast="0"/>
      <w:bookmarkStart w:id="30" w:name="_spzwsxr8z7nh" w:colFirst="0" w:colLast="0"/>
      <w:bookmarkStart w:id="31" w:name="_woyer8jff0dk" w:colFirst="0" w:colLast="0"/>
      <w:bookmarkStart w:id="32" w:name="_4w559ias64yj" w:colFirst="0" w:colLast="0"/>
      <w:bookmarkStart w:id="33" w:name="_wsvez75kgwx9" w:colFirst="0" w:colLast="0"/>
      <w:bookmarkStart w:id="34" w:name="_kfm0s95cajer" w:colFirst="0" w:colLast="0"/>
      <w:bookmarkStart w:id="35" w:name="_ktznrskru1a" w:colFirst="0" w:colLast="0"/>
      <w:bookmarkEnd w:id="29"/>
      <w:bookmarkEnd w:id="30"/>
      <w:bookmarkEnd w:id="31"/>
      <w:bookmarkEnd w:id="32"/>
      <w:bookmarkEnd w:id="33"/>
      <w:bookmarkEnd w:id="34"/>
      <w:bookmarkEnd w:id="35"/>
    </w:p>
    <w:p/>
    <w:sectPr>
      <w:headerReference w:type="default" r:id="rId7"/>
      <w:footerReference w:type="default" r:id="rId8"/>
      <w:pgSz w:w="11906" w:h="16838"/>
      <w:pgMar w:top="1985"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MT">
    <w:altName w:val="Arial"/>
    <w:charset w:val="00"/>
    <w:family w:val="auto"/>
    <w:pitch w:val="default"/>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Stopka"/>
    </w:pPr>
    <w:r>
      <w:rPr>
        <w:noProof/>
      </w:rPr>
      <w:drawing>
        <wp:anchor distT="0" distB="0" distL="114300" distR="114300" simplePos="0" relativeHeight="251659264" behindDoc="1" locked="0" layoutInCell="1" allowOverlap="1">
          <wp:simplePos x="0" y="0"/>
          <wp:positionH relativeFrom="page">
            <wp:align>center</wp:align>
          </wp:positionH>
          <wp:positionV relativeFrom="page">
            <wp:align>bottom</wp:align>
          </wp:positionV>
          <wp:extent cx="7560000" cy="114120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7560000" cy="1141200"/>
                  </a:xfrm>
                  <a:prstGeom prst="rect">
                    <a:avLst/>
                  </a:prstGeom>
                </pic:spPr>
              </pic:pic>
            </a:graphicData>
          </a:graphic>
          <wp14:sizeRelH relativeFrom="page">
            <wp14:pctWidth>0</wp14:pctWidth>
          </wp14:sizeRelH>
          <wp14:sizeRelV relativeFrom="page">
            <wp14:pctHeight>0</wp14:pctHeight>
          </wp14:sizeRelV>
        </wp:anchor>
      </w:drawing>
    </w:r>
  </w:p>
  <w:p>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spacing w:line="240" w:lineRule="auto"/>
        <w:rPr>
          <w:rFonts w:ascii="Arial Narrow" w:hAnsi="Arial Narrow"/>
          <w:sz w:val="18"/>
          <w:szCs w:val="18"/>
        </w:rPr>
      </w:pPr>
      <w:r>
        <w:rPr>
          <w:rFonts w:ascii="Arial Narrow" w:hAnsi="Arial Narrow"/>
          <w:sz w:val="18"/>
          <w:szCs w:val="18"/>
          <w:vertAlign w:val="superscript"/>
        </w:rPr>
        <w:footnoteRef/>
      </w:r>
      <w:r>
        <w:rPr>
          <w:rFonts w:ascii="Arial Narrow" w:hAnsi="Arial Narrow"/>
          <w:sz w:val="18"/>
          <w:szCs w:val="18"/>
        </w:rPr>
        <w:t xml:space="preserve"> Zmiany tekstu jednolitego wymienionej ustawy zostały ogłoszone w Dz. U. z 2021 r. poz. 2270, z 2022 r. poz. 1, 66, 1079, 1692, 1700, 1812, 1967, 2127, 2140 i 2754 oraz z 2023 r. poz. 185 i 535</w:t>
      </w:r>
    </w:p>
  </w:footnote>
  <w:footnote w:id="2">
    <w:p>
      <w:pPr>
        <w:spacing w:line="240" w:lineRule="auto"/>
        <w:rPr>
          <w:rFonts w:ascii="Arial Narrow" w:hAnsi="Arial Narrow"/>
          <w:sz w:val="18"/>
          <w:szCs w:val="18"/>
        </w:rPr>
      </w:pPr>
      <w:r>
        <w:rPr>
          <w:rFonts w:ascii="Arial Narrow" w:hAnsi="Arial Narrow"/>
          <w:sz w:val="18"/>
          <w:szCs w:val="18"/>
          <w:vertAlign w:val="superscript"/>
        </w:rPr>
        <w:footnoteRef/>
      </w:r>
      <w:r>
        <w:rPr>
          <w:rFonts w:ascii="Arial Narrow" w:hAnsi="Arial Narrow"/>
          <w:sz w:val="18"/>
          <w:szCs w:val="18"/>
        </w:rPr>
        <w:t xml:space="preserve"> Dopuszcza się udział osób spoza subregionu elbląskiego, przy czym wsparcie udzielone tym osobom nie może przekroczyć 20% wartości projektu.</w:t>
      </w:r>
    </w:p>
  </w:footnote>
  <w:footnote w:id="3">
    <w:p>
      <w:pPr>
        <w:pBdr>
          <w:top w:val="nil"/>
          <w:left w:val="nil"/>
          <w:bottom w:val="nil"/>
          <w:right w:val="nil"/>
          <w:between w:val="nil"/>
        </w:pBdr>
        <w:spacing w:line="240" w:lineRule="auto"/>
        <w:rPr>
          <w:color w:val="000000"/>
          <w:sz w:val="18"/>
          <w:szCs w:val="18"/>
        </w:rPr>
      </w:pPr>
      <w:r>
        <w:rPr>
          <w:rFonts w:ascii="Arial Narrow" w:hAnsi="Arial Narrow"/>
          <w:sz w:val="18"/>
          <w:szCs w:val="18"/>
          <w:vertAlign w:val="superscript"/>
        </w:rPr>
        <w:footnoteRef/>
      </w:r>
      <w:r>
        <w:rPr>
          <w:rFonts w:ascii="Arial Narrow" w:hAnsi="Arial Narrow"/>
          <w:color w:val="000000"/>
          <w:sz w:val="18"/>
          <w:szCs w:val="18"/>
        </w:rPr>
        <w:t xml:space="preserve"> Staż rozumiany jest jako nabywanie umiejętności praktycznych istotnych dla wykonywania pracy o określonej specyfice bez nawiązania stosunku pracy z pracodawcą, mające za zadanie przygotować osobę wchodzącą, powracającą na rynek pracy, planującą zmianę miejsca zatrudnienia lub podnoszącą swoje kwalifikacje do podjęcia, zmiany lub poprawy warunków zatrudnienia.</w:t>
      </w:r>
    </w:p>
  </w:footnote>
  <w:footnote w:id="4">
    <w:p>
      <w:pPr>
        <w:pStyle w:val="Tekstprzypisudolnego"/>
        <w:rPr>
          <w:sz w:val="16"/>
          <w:szCs w:val="16"/>
          <w:lang w:val="pl-PL"/>
        </w:rPr>
      </w:pPr>
      <w:r>
        <w:rPr>
          <w:rStyle w:val="Odwoanieprzypisudolnego"/>
        </w:rPr>
        <w:footnoteRef/>
      </w:r>
      <w:r>
        <w:t xml:space="preserve"> </w:t>
      </w:r>
      <w:r>
        <w:rPr>
          <w:rFonts w:ascii="Arial Narrow" w:hAnsi="Arial Narrow"/>
          <w:sz w:val="16"/>
          <w:szCs w:val="16"/>
        </w:rPr>
        <w:t>Zindeksowane stawki będą ogłaszane w komunikacie ministra właściwego do spraw rozwoju regionalnego, na stronie internetowej urzędu obsługującego ministra do spraw rozwoju regionalnego i będą mieć - co do zasady – zastosowanie wyłącznie do umów o dofinansowanie projektu OWES zawartych na podstawie naborów ogłoszonych po dniu wydania komunikatu w sprawie zindeksowanej stawki. Zindeksowane stawki jednostkowe będą mogły mieć zastosowanie również w projektach już realizowanych, za zgodą IZ, pod warunkiem wyraźnego rozdzielenia części projektu rozliczanej według dotychczasowej i według zindeksowanej stawki (np. zastosowanie zindeksowanej stawki będzie mogło mieć miejsce dla wsparcia udzielanego po opublikowaniu przez OWES nowego naboru na wnioski o wsparcie w zakresie utworzenia i utrzymania miejsca pracy w PS albo w przypadku udzielania wsparcia w sposób ciągły, po ogłoszeniu daty od której nowa stawka będzie miała zastosowanie).</w:t>
      </w:r>
    </w:p>
  </w:footnote>
  <w:footnote w:id="5">
    <w:p>
      <w:pPr>
        <w:spacing w:line="240" w:lineRule="auto"/>
        <w:jc w:val="both"/>
        <w:rPr>
          <w:rFonts w:ascii="Arial Narrow" w:hAnsi="Arial Narrow"/>
          <w:sz w:val="18"/>
          <w:szCs w:val="18"/>
        </w:rPr>
      </w:pPr>
      <w:r>
        <w:rPr>
          <w:rFonts w:ascii="Arial Narrow" w:hAnsi="Arial Narrow"/>
          <w:sz w:val="18"/>
          <w:szCs w:val="18"/>
          <w:vertAlign w:val="superscript"/>
        </w:rPr>
        <w:footnoteRef/>
      </w:r>
      <w:r>
        <w:rPr>
          <w:rFonts w:ascii="Arial Narrow" w:hAnsi="Arial Narrow"/>
          <w:sz w:val="18"/>
          <w:szCs w:val="18"/>
        </w:rPr>
        <w:t xml:space="preserve"> Za uzasadniony przypadek należy uznać wystąpienie czynników zewnętrznych niezależnych od PS, które uniemożliwiają mu zatrudnienie osoby w tym terminie np. problem z uzyskaniem pozwoleń, odbiory techniczne itp.</w:t>
      </w:r>
    </w:p>
  </w:footnote>
  <w:footnote w:id="6">
    <w:p>
      <w:pPr>
        <w:pBdr>
          <w:top w:val="nil"/>
          <w:left w:val="nil"/>
          <w:bottom w:val="nil"/>
          <w:right w:val="nil"/>
          <w:between w:val="nil"/>
        </w:pBdr>
        <w:spacing w:line="240" w:lineRule="auto"/>
        <w:rPr>
          <w:rFonts w:ascii="Arial Narrow" w:hAnsi="Arial Narrow"/>
          <w:color w:val="000000"/>
          <w:sz w:val="18"/>
          <w:szCs w:val="18"/>
        </w:rPr>
      </w:pPr>
      <w:r>
        <w:rPr>
          <w:rFonts w:ascii="Arial Narrow" w:hAnsi="Arial Narrow"/>
          <w:sz w:val="18"/>
          <w:szCs w:val="18"/>
          <w:vertAlign w:val="superscript"/>
        </w:rPr>
        <w:footnoteRef/>
      </w:r>
      <w:r>
        <w:rPr>
          <w:rFonts w:ascii="Arial Narrow" w:hAnsi="Arial Narrow"/>
          <w:color w:val="000000"/>
          <w:sz w:val="18"/>
          <w:szCs w:val="18"/>
        </w:rPr>
        <w:t xml:space="preserve"> W przypadku osób z niepełnosprawnością sprzężoną lub ze znacznym stopniem </w:t>
      </w:r>
      <w:r>
        <w:rPr>
          <w:rFonts w:ascii="Arial Narrow" w:hAnsi="Arial Narrow"/>
          <w:sz w:val="18"/>
          <w:szCs w:val="18"/>
        </w:rPr>
        <w:t>n</w:t>
      </w:r>
      <w:r>
        <w:rPr>
          <w:rFonts w:ascii="Arial Narrow" w:hAnsi="Arial Narrow"/>
          <w:color w:val="000000"/>
          <w:sz w:val="18"/>
          <w:szCs w:val="18"/>
        </w:rPr>
        <w:t>iepełnosprawności w wymiarze co najmniej ¼ etatu.</w:t>
      </w:r>
    </w:p>
  </w:footnote>
  <w:footnote w:id="7">
    <w:p>
      <w:pPr>
        <w:spacing w:line="240" w:lineRule="auto"/>
        <w:rPr>
          <w:rFonts w:ascii="Arial Narrow" w:hAnsi="Arial Narrow"/>
          <w:sz w:val="18"/>
          <w:szCs w:val="18"/>
        </w:rPr>
      </w:pPr>
      <w:r>
        <w:rPr>
          <w:rFonts w:ascii="Arial Narrow" w:hAnsi="Arial Narrow"/>
          <w:sz w:val="18"/>
          <w:szCs w:val="18"/>
          <w:vertAlign w:val="superscript"/>
        </w:rPr>
        <w:footnoteRef/>
      </w:r>
      <w:r>
        <w:rPr>
          <w:rFonts w:ascii="Arial Narrow" w:hAnsi="Arial Narrow"/>
          <w:sz w:val="18"/>
          <w:szCs w:val="18"/>
        </w:rPr>
        <w:t xml:space="preserve"> </w:t>
      </w:r>
      <w:r>
        <w:rPr>
          <w:rFonts w:ascii="Arial Narrow" w:eastAsia="Arial MT" w:hAnsi="Arial Narrow" w:cs="Arial MT"/>
          <w:sz w:val="18"/>
          <w:szCs w:val="18"/>
        </w:rPr>
        <w:t>Przykład: PS utworzyło ze środków EFS+ jedno miejsce pracy 1 stycznia 2021 r. Utrzymanie miejsca pracy było dofinansowywane przez 12 miesięcy do 31 grudnia 2021 r. Miejsce to zostało zlikwidowane w marcu 2022 r., tj. w trzecim miesiącu okresu trwałości. W związku z niezachowaniem pełnego okresu trwałości, PS będzie musiało zwrócić 4/6 otrzymanego dofinansowania na obie stawki jednostkowe (obowiązkowy okres trwałości wynosił 6 miesięcy, miejsce było utrzymywane przez pełne 2 miesiące; brakujący okres trwałości wyniósł więc 4 miesiące). Jeżeli miejsce pracy zostanie zlikwidowane w środku miesiąca, ten miesiąc nie wlicza się do okresu trwałości.</w:t>
      </w:r>
    </w:p>
  </w:footnote>
  <w:footnote w:id="8">
    <w:p>
      <w:pPr>
        <w:spacing w:line="240" w:lineRule="auto"/>
        <w:rPr>
          <w:sz w:val="20"/>
          <w:szCs w:val="20"/>
        </w:rPr>
      </w:pPr>
      <w:r>
        <w:rPr>
          <w:rFonts w:ascii="Arial Narrow" w:hAnsi="Arial Narrow"/>
          <w:sz w:val="18"/>
          <w:szCs w:val="18"/>
          <w:vertAlign w:val="superscript"/>
        </w:rPr>
        <w:footnoteRef/>
      </w:r>
      <w:r>
        <w:rPr>
          <w:rFonts w:ascii="Arial Narrow" w:hAnsi="Arial Narrow"/>
          <w:sz w:val="18"/>
          <w:szCs w:val="18"/>
        </w:rPr>
        <w:t xml:space="preserve"> Pojęcie siły wyższej będzie miało zastosowanie w przypadku zaistnienia normalnych i nieprzewidywalnych okoliczności, niezależnych od podmiotu powołującego się na nie, których skutków nie można było uniknąć pomimo zachowania należytej staranności.</w:t>
      </w:r>
    </w:p>
  </w:footnote>
  <w:footnote w:id="9">
    <w:p>
      <w:pPr>
        <w:pStyle w:val="Tekstprzypisudolnego"/>
        <w:rPr>
          <w:rFonts w:ascii="Arial Narrow" w:hAnsi="Arial Narrow"/>
          <w:sz w:val="18"/>
          <w:szCs w:val="18"/>
          <w:lang w:val="pl-PL"/>
        </w:rPr>
      </w:pPr>
      <w:r>
        <w:rPr>
          <w:rStyle w:val="Odwoanieprzypisudolnego"/>
          <w:rFonts w:ascii="Arial Narrow" w:hAnsi="Arial Narrow"/>
          <w:sz w:val="18"/>
          <w:szCs w:val="18"/>
        </w:rPr>
        <w:footnoteRef/>
      </w:r>
      <w:r>
        <w:rPr>
          <w:rFonts w:ascii="Arial Narrow" w:hAnsi="Arial Narrow"/>
          <w:sz w:val="18"/>
          <w:szCs w:val="18"/>
        </w:rPr>
        <w:t xml:space="preserve"> </w:t>
      </w:r>
      <w:r>
        <w:rPr>
          <w:rFonts w:ascii="Arial Narrow" w:hAnsi="Arial Narrow"/>
          <w:sz w:val="18"/>
          <w:szCs w:val="18"/>
          <w:lang w:val="pl-PL"/>
        </w:rPr>
        <w:t>Okres ostatnich 3 lat liczony jest jako 3 minione okresy po 365 dni każdy.</w:t>
      </w:r>
    </w:p>
  </w:footnote>
  <w:footnote w:id="10">
    <w:p>
      <w:pPr>
        <w:pStyle w:val="Tekstprzypisudolnego"/>
        <w:rPr>
          <w:rFonts w:ascii="Arial Narrow" w:hAnsi="Arial Narrow"/>
          <w:sz w:val="18"/>
          <w:szCs w:val="18"/>
          <w:lang w:val="pl-PL"/>
        </w:rPr>
      </w:pPr>
      <w:r>
        <w:rPr>
          <w:rStyle w:val="Odwoanieprzypisudolnego"/>
          <w:rFonts w:ascii="Arial Narrow" w:hAnsi="Arial Narrow"/>
          <w:sz w:val="18"/>
          <w:szCs w:val="18"/>
        </w:rPr>
        <w:footnoteRef/>
      </w:r>
      <w:r>
        <w:rPr>
          <w:rFonts w:ascii="Arial Narrow" w:hAnsi="Arial Narrow"/>
          <w:sz w:val="18"/>
          <w:szCs w:val="18"/>
        </w:rPr>
        <w:t xml:space="preserve"> R</w:t>
      </w:r>
      <w:proofErr w:type="spellStart"/>
      <w:r>
        <w:rPr>
          <w:rFonts w:ascii="Arial Narrow" w:hAnsi="Arial Narrow"/>
          <w:sz w:val="18"/>
          <w:szCs w:val="18"/>
          <w:lang w:val="pl-PL"/>
        </w:rPr>
        <w:t>egulacje</w:t>
      </w:r>
      <w:proofErr w:type="spellEnd"/>
      <w:r>
        <w:rPr>
          <w:rFonts w:ascii="Arial Narrow" w:hAnsi="Arial Narrow"/>
          <w:sz w:val="18"/>
          <w:szCs w:val="18"/>
          <w:lang w:val="pl-PL"/>
        </w:rPr>
        <w:t xml:space="preserve"> zawarte w </w:t>
      </w:r>
      <w:r>
        <w:rPr>
          <w:rFonts w:ascii="Arial Narrow" w:hAnsi="Arial Narrow" w:cstheme="majorHAnsi"/>
          <w:sz w:val="18"/>
          <w:szCs w:val="18"/>
          <w:lang w:val="pl-PL"/>
        </w:rPr>
        <w:t xml:space="preserve">§ </w:t>
      </w:r>
      <w:r>
        <w:rPr>
          <w:rFonts w:ascii="Arial Narrow" w:hAnsi="Arial Narrow"/>
          <w:sz w:val="18"/>
          <w:szCs w:val="18"/>
          <w:lang w:val="pl-PL"/>
        </w:rPr>
        <w:t xml:space="preserve">5 ust. 1 i 2 dotyczące formy wezwania Wnioskodawcy oraz terminu udzielenia przez niego odpowiedzi stosuje się odpowiednio. </w:t>
      </w:r>
    </w:p>
  </w:footnote>
  <w:footnote w:id="11">
    <w:p>
      <w:pPr>
        <w:pStyle w:val="Tekstprzypisudolnego"/>
        <w:rPr>
          <w:lang w:val="pl-PL"/>
        </w:rPr>
      </w:pPr>
      <w:r>
        <w:rPr>
          <w:rStyle w:val="Odwoanieprzypisudolnego"/>
          <w:rFonts w:ascii="Arial Narrow" w:hAnsi="Arial Narrow"/>
          <w:sz w:val="18"/>
          <w:szCs w:val="18"/>
        </w:rPr>
        <w:footnoteRef/>
      </w:r>
      <w:r>
        <w:rPr>
          <w:rFonts w:ascii="Arial Narrow" w:hAnsi="Arial Narrow"/>
          <w:sz w:val="18"/>
          <w:szCs w:val="18"/>
        </w:rPr>
        <w:t xml:space="preserve"> W sytuacji, gdy dwa lub więcej wniosków o udzielenie wsparcia, które uzyskały identyczną liczbę punktów, znajdzie się na ostatnim miejscu listy rankingowej uprawniającym do dofinansowania, zaś pozostająca pula środków jest niewystarczająca do udzielenia wsparcia dla wszystkich tych wniosków i nie ma możliwości zwiększenia puli na konkurs, KOW dokonuje wyboru spośród tych wniosków w drodze losowania.</w:t>
      </w:r>
    </w:p>
  </w:footnote>
  <w:footnote w:id="12">
    <w:p>
      <w:pPr>
        <w:spacing w:line="240" w:lineRule="auto"/>
        <w:rPr>
          <w:rFonts w:ascii="Arial Narrow" w:hAnsi="Arial Narrow"/>
          <w:sz w:val="18"/>
          <w:szCs w:val="18"/>
        </w:rPr>
      </w:pPr>
      <w:r>
        <w:rPr>
          <w:sz w:val="18"/>
          <w:szCs w:val="18"/>
          <w:vertAlign w:val="superscript"/>
        </w:rPr>
        <w:footnoteRef/>
      </w:r>
      <w:r>
        <w:rPr>
          <w:sz w:val="18"/>
          <w:szCs w:val="18"/>
        </w:rPr>
        <w:t xml:space="preserve"> </w:t>
      </w:r>
      <w:r>
        <w:rPr>
          <w:rFonts w:ascii="Arial Narrow" w:hAnsi="Arial Narrow"/>
          <w:sz w:val="18"/>
          <w:szCs w:val="18"/>
        </w:rPr>
        <w:t>Dokumenty poświadczające zatrudnienie w PES/PS w zakresie danych osobowych nie dotyczących kandydatów/kandydatek do zatrudnienia na miejscach pracy tworzonych z EFS+ powinny zostać zanonimizowane.</w:t>
      </w:r>
    </w:p>
  </w:footnote>
  <w:footnote w:id="13">
    <w:p>
      <w:pPr>
        <w:spacing w:line="240" w:lineRule="auto"/>
        <w:rPr>
          <w:sz w:val="20"/>
          <w:szCs w:val="20"/>
        </w:rPr>
      </w:pPr>
      <w:r>
        <w:rPr>
          <w:rFonts w:ascii="Arial Narrow" w:hAnsi="Arial Narrow"/>
          <w:sz w:val="18"/>
          <w:szCs w:val="18"/>
          <w:vertAlign w:val="superscript"/>
        </w:rPr>
        <w:footnoteRef/>
      </w:r>
      <w:r>
        <w:rPr>
          <w:rFonts w:ascii="Arial Narrow" w:hAnsi="Arial Narrow"/>
          <w:sz w:val="18"/>
          <w:szCs w:val="18"/>
        </w:rPr>
        <w:t xml:space="preserve"> W uzasadnionym przypadku umowa o udzielenie wsparcia finansowego na utworzenie i utrzymanie miejsca pracy może określać dłuższy termin wniesienia dodatkowego zabezpieczenia, niż wskazany w Regulaminie.</w:t>
      </w:r>
    </w:p>
  </w:footnote>
  <w:footnote w:id="14">
    <w:p>
      <w:pPr>
        <w:spacing w:line="240" w:lineRule="auto"/>
        <w:jc w:val="both"/>
        <w:rPr>
          <w:rFonts w:ascii="Arial Narrow" w:hAnsi="Arial Narrow"/>
          <w:sz w:val="18"/>
          <w:szCs w:val="18"/>
        </w:rPr>
      </w:pPr>
      <w:r>
        <w:rPr>
          <w:rFonts w:ascii="Arial Narrow" w:hAnsi="Arial Narrow"/>
          <w:sz w:val="18"/>
          <w:szCs w:val="18"/>
          <w:vertAlign w:val="superscript"/>
        </w:rPr>
        <w:footnoteRef/>
      </w:r>
      <w:r>
        <w:rPr>
          <w:rFonts w:ascii="Arial Narrow" w:hAnsi="Arial Narrow"/>
          <w:sz w:val="18"/>
          <w:szCs w:val="18"/>
        </w:rPr>
        <w:t xml:space="preserve"> Za uzasadniony przypadek należy uznać wystąpienie czynników zewnętrznych niezależnych od Odbiorcy wsparcia, które uniemożliwiają mu zatrudnienie osoby w tym terminie np. problem z uzyskaniem pozwoleń, odbiory techniczne itp.</w:t>
      </w:r>
    </w:p>
  </w:footnote>
  <w:footnote w:id="15">
    <w:p>
      <w:pPr>
        <w:spacing w:line="240" w:lineRule="auto"/>
        <w:rPr>
          <w:rFonts w:ascii="Arial Narrow" w:hAnsi="Arial Narrow"/>
          <w:sz w:val="18"/>
          <w:szCs w:val="18"/>
        </w:rPr>
      </w:pPr>
      <w:r>
        <w:rPr>
          <w:rFonts w:ascii="Arial Narrow" w:hAnsi="Arial Narrow"/>
          <w:sz w:val="18"/>
          <w:szCs w:val="18"/>
          <w:vertAlign w:val="superscript"/>
        </w:rPr>
        <w:footnoteRef/>
      </w:r>
      <w:r>
        <w:rPr>
          <w:rFonts w:ascii="Arial Narrow" w:hAnsi="Arial Narrow"/>
          <w:sz w:val="18"/>
          <w:szCs w:val="18"/>
        </w:rPr>
        <w:t xml:space="preserve"> Zaświadczenia uznaje się za aktualne przez okres 30 dni od dnia wydania, chyba, że z ich treści wynika, że zostały wydane na okres dłuższy lub są ważne bezterminowo.</w:t>
      </w:r>
    </w:p>
  </w:footnote>
  <w:footnote w:id="16">
    <w:p>
      <w:pPr>
        <w:spacing w:line="240" w:lineRule="auto"/>
        <w:jc w:val="both"/>
        <w:rPr>
          <w:sz w:val="20"/>
          <w:szCs w:val="20"/>
        </w:rPr>
      </w:pPr>
      <w:r>
        <w:rPr>
          <w:rFonts w:ascii="Arial Narrow" w:hAnsi="Arial Narrow"/>
          <w:sz w:val="18"/>
          <w:szCs w:val="18"/>
          <w:vertAlign w:val="superscript"/>
        </w:rPr>
        <w:footnoteRef/>
      </w:r>
      <w:r>
        <w:rPr>
          <w:rFonts w:ascii="Arial Narrow" w:hAnsi="Arial Narrow"/>
          <w:sz w:val="18"/>
          <w:szCs w:val="18"/>
        </w:rPr>
        <w:t xml:space="preserve"> Nie dotyczy sytuacji, w której regulamin świadczenia usług OWES wymaga obowiązku przedstawienia deklaracji uczestnictwa na wcześniejszym etapie lub gdy kandydat/ka do zatrudnienia w PS jest już zakwalifikowany/a do udziału w projekcie OWES jako osoba zagrożona wykluczeniem społecznym.</w:t>
      </w:r>
    </w:p>
  </w:footnote>
  <w:footnote w:id="17">
    <w:p>
      <w:pPr>
        <w:spacing w:line="240" w:lineRule="auto"/>
        <w:rPr>
          <w:sz w:val="18"/>
          <w:szCs w:val="18"/>
        </w:rPr>
      </w:pPr>
      <w:r>
        <w:rPr>
          <w:sz w:val="18"/>
          <w:szCs w:val="18"/>
          <w:vertAlign w:val="superscript"/>
        </w:rPr>
        <w:footnoteRef/>
      </w:r>
      <w:r>
        <w:rPr>
          <w:sz w:val="18"/>
          <w:szCs w:val="18"/>
        </w:rPr>
        <w:t xml:space="preserve"> </w:t>
      </w:r>
      <w:r>
        <w:rPr>
          <w:rFonts w:ascii="Arial Narrow" w:hAnsi="Arial Narrow"/>
          <w:sz w:val="18"/>
          <w:szCs w:val="18"/>
        </w:rPr>
        <w:t xml:space="preserve">Do okresu przerw w zatrudnieniu nie wlicza się urlopów wypoczynkowych i okolicznościowych płatnych przez Odbiorcę wsparcia zgodnie z Kodeksem pracy, a także zwolnień chorobowych płatnych przez Odbiorcę wsparcia. Natomiast nieobecności pracownika spowodowane: urlopem bezpłatnym, przebywaniem na zasiłku chorobowym (płatnym przez ZUS) i świadczeniu rehabilitacyjnym oraz korzystaniem z urlopu macierzyńskiego i urlopu wychowawczego (płatnego przez ZUS), oznaczają przerwanie okresu obowiązkowego utrzymania miejsca pracy. </w:t>
      </w:r>
    </w:p>
    <w:p>
      <w:pPr>
        <w:spacing w:line="240" w:lineRule="auto"/>
        <w:rPr>
          <w:sz w:val="20"/>
          <w:szCs w:val="20"/>
        </w:rPr>
      </w:pPr>
      <w:r>
        <w:rPr>
          <w:rFonts w:ascii="Arial Narrow" w:hAnsi="Arial Narrow"/>
          <w:sz w:val="18"/>
          <w:szCs w:val="18"/>
        </w:rPr>
        <w:t>W sytuacji, gdy przewidywana przerwa w zatrudnieniu danego pracownika będzie wiązała się z koniecznością wydłużenia okresu utrzymania miejsca pracy (np. długotrwałe zwolnienie lekarskie), Odbiorca wsparcia może zatrudnić na zastępstwo kolejnego pracownika w takim samym wymiarze etatu, spełniającego przesłanki wykluczenia społecznego określone w art. 2 pkt 6 ustawy o ekonomii społecznej. Od momentu zatrudnienia pracownika na zastępstwo, nie ma konieczności wydłużania okresu utrzymania miejsca pracy.</w:t>
      </w:r>
    </w:p>
  </w:footnote>
  <w:footnote w:id="18">
    <w:p>
      <w:pPr>
        <w:spacing w:line="240" w:lineRule="auto"/>
        <w:rPr>
          <w:rFonts w:ascii="Arial Narrow" w:hAnsi="Arial Narrow"/>
          <w:sz w:val="18"/>
          <w:szCs w:val="18"/>
        </w:rPr>
      </w:pPr>
      <w:r>
        <w:rPr>
          <w:rFonts w:ascii="Arial Narrow" w:hAnsi="Arial Narrow"/>
          <w:sz w:val="18"/>
          <w:szCs w:val="18"/>
          <w:vertAlign w:val="superscript"/>
        </w:rPr>
        <w:footnoteRef/>
      </w:r>
      <w:r>
        <w:rPr>
          <w:rFonts w:ascii="Arial Narrow" w:hAnsi="Arial Narrow"/>
          <w:sz w:val="18"/>
          <w:szCs w:val="18"/>
        </w:rPr>
        <w:t xml:space="preserve"> Jeżeli PES nie utworzy wszystkich miejsc pracy w tym samym dniu, termin 6 miesięcy na uzyskanie statusu PS liczony jest od dnia utworzenia pierwszego z miejsc pracy, na które podmiot otrzymał wsparcie.</w:t>
      </w:r>
    </w:p>
  </w:footnote>
  <w:footnote w:id="19">
    <w:p>
      <w:pPr>
        <w:spacing w:line="240" w:lineRule="auto"/>
        <w:rPr>
          <w:sz w:val="20"/>
          <w:szCs w:val="20"/>
        </w:rPr>
      </w:pPr>
      <w:r>
        <w:rPr>
          <w:rFonts w:ascii="Arial Narrow" w:hAnsi="Arial Narrow"/>
          <w:sz w:val="18"/>
          <w:szCs w:val="18"/>
          <w:vertAlign w:val="superscript"/>
        </w:rPr>
        <w:footnoteRef/>
      </w:r>
      <w:r>
        <w:rPr>
          <w:rFonts w:ascii="Arial Narrow" w:hAnsi="Arial Narrow"/>
          <w:sz w:val="18"/>
          <w:szCs w:val="18"/>
        </w:rPr>
        <w:t xml:space="preserve"> Jako moment rozliczenia wsparcia finansowego przyjmuje się dzień, w którym obie stawki jednostkowe zostaną rozliczone przez Operatora, tzn. po upływie wymaganego okresu 12 miesięcy utrzymania miejsca pracy.</w:t>
      </w:r>
    </w:p>
  </w:footnote>
  <w:footnote w:id="20">
    <w:p>
      <w:pPr>
        <w:spacing w:line="240" w:lineRule="auto"/>
        <w:rPr>
          <w:rFonts w:ascii="Arial Narrow" w:hAnsi="Arial Narrow"/>
          <w:sz w:val="18"/>
          <w:szCs w:val="18"/>
        </w:rPr>
      </w:pPr>
      <w:r>
        <w:rPr>
          <w:rFonts w:ascii="Arial Narrow" w:hAnsi="Arial Narrow"/>
          <w:sz w:val="18"/>
          <w:szCs w:val="18"/>
          <w:vertAlign w:val="superscript"/>
        </w:rPr>
        <w:footnoteRef/>
      </w:r>
      <w:r>
        <w:rPr>
          <w:rFonts w:ascii="Arial Narrow" w:hAnsi="Arial Narrow"/>
          <w:sz w:val="18"/>
          <w:szCs w:val="18"/>
        </w:rPr>
        <w:t xml:space="preserve"> Dokumenty poświadczające zatrudnienie w PES/PS w zakresie danych osobowych osób zatrudnionych na miejscach pracy utworzonych w PS ze środków innych niż EFS+ powinny zostać zanonimizowane.  </w:t>
      </w:r>
    </w:p>
  </w:footnote>
  <w:footnote w:id="21">
    <w:p>
      <w:pPr>
        <w:spacing w:line="240" w:lineRule="auto"/>
        <w:rPr>
          <w:rFonts w:ascii="Arial Narrow" w:hAnsi="Arial Narrow"/>
          <w:sz w:val="20"/>
          <w:szCs w:val="20"/>
        </w:rPr>
      </w:pPr>
      <w:r>
        <w:rPr>
          <w:rFonts w:ascii="Arial Narrow" w:hAnsi="Arial Narrow"/>
          <w:vertAlign w:val="superscript"/>
        </w:rPr>
        <w:footnoteRef/>
      </w:r>
      <w:r>
        <w:rPr>
          <w:rFonts w:ascii="Arial Narrow" w:hAnsi="Arial Narrow"/>
          <w:sz w:val="20"/>
          <w:szCs w:val="20"/>
        </w:rPr>
        <w:t xml:space="preserve"> W uzasadnionych przypadkach termin może zostać wydłużony o dodatkowe 30 dni.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Nagwek"/>
      <w:tabs>
        <w:tab w:val="clear" w:pos="4536"/>
        <w:tab w:val="clear" w:pos="9072"/>
        <w:tab w:val="left" w:pos="1656"/>
      </w:tabs>
    </w:pPr>
    <w:sdt>
      <w:sdtPr>
        <w:id w:val="-2100708037"/>
        <w:docPartObj>
          <w:docPartGallery w:val="Page Numbers (Margins)"/>
          <w:docPartUnique/>
        </w:docPartObj>
      </w:sdtPr>
      <w:sdtContent>
        <w:r>
          <w:rPr>
            <w:noProof/>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margin">
                    <wp:align>bottom</wp:align>
                  </wp:positionV>
                  <wp:extent cx="510540" cy="2183130"/>
                  <wp:effectExtent l="0" t="0" r="3810"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26"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CaeleK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Pr>
        <w:noProof/>
      </w:rPr>
      <w:drawing>
        <wp:anchor distT="0" distB="0" distL="114300" distR="114300" simplePos="0" relativeHeight="251658240" behindDoc="1" locked="0" layoutInCell="1" allowOverlap="1">
          <wp:simplePos x="0" y="0"/>
          <wp:positionH relativeFrom="page">
            <wp:align>center</wp:align>
          </wp:positionH>
          <wp:positionV relativeFrom="page">
            <wp:align>top</wp:align>
          </wp:positionV>
          <wp:extent cx="7560000" cy="114120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7560000" cy="1141200"/>
                  </a:xfrm>
                  <a:prstGeom prst="rect">
                    <a:avLst/>
                  </a:prstGeom>
                </pic:spPr>
              </pic:pic>
            </a:graphicData>
          </a:graphic>
          <wp14:sizeRelH relativeFrom="page">
            <wp14:pctWidth>0</wp14:pctWidth>
          </wp14:sizeRelH>
          <wp14:sizeRelV relativeFrom="page">
            <wp14:pctHeight>0</wp14:pctHeight>
          </wp14:sizeRelV>
        </wp:anchor>
      </w:drawing>
    </w:r>
  </w:p>
  <w:p>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12F89"/>
    <w:multiLevelType w:val="multilevel"/>
    <w:tmpl w:val="9B2ED55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0C5B23D6"/>
    <w:multiLevelType w:val="multilevel"/>
    <w:tmpl w:val="E3420EA8"/>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2" w15:restartNumberingAfterBreak="0">
    <w:nsid w:val="0EF04414"/>
    <w:multiLevelType w:val="multilevel"/>
    <w:tmpl w:val="D97ADF74"/>
    <w:lvl w:ilvl="0">
      <w:start w:val="1"/>
      <w:numFmt w:val="decimal"/>
      <w:lvlText w:val="%1."/>
      <w:lvlJc w:val="left"/>
      <w:pPr>
        <w:ind w:left="360" w:hanging="360"/>
      </w:pPr>
      <w:rPr>
        <w:color w:val="000000"/>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 w15:restartNumberingAfterBreak="0">
    <w:nsid w:val="11017C48"/>
    <w:multiLevelType w:val="multilevel"/>
    <w:tmpl w:val="33C8DC0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 w15:restartNumberingAfterBreak="0">
    <w:nsid w:val="16D220BF"/>
    <w:multiLevelType w:val="multilevel"/>
    <w:tmpl w:val="D8862B2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 w15:restartNumberingAfterBreak="0">
    <w:nsid w:val="17BA6B6E"/>
    <w:multiLevelType w:val="multilevel"/>
    <w:tmpl w:val="5986C264"/>
    <w:lvl w:ilvl="0">
      <w:start w:val="24"/>
      <w:numFmt w:val="decimal"/>
      <w:lvlText w:val="%1."/>
      <w:lvlJc w:val="left"/>
      <w:pPr>
        <w:ind w:left="720" w:hanging="360"/>
      </w:pPr>
      <w:rPr>
        <w:rFonts w:hint="default"/>
        <w:u w:val="none"/>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 w15:restartNumberingAfterBreak="0">
    <w:nsid w:val="1CBE5788"/>
    <w:multiLevelType w:val="multilevel"/>
    <w:tmpl w:val="8408A78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 w15:restartNumberingAfterBreak="0">
    <w:nsid w:val="1DD93436"/>
    <w:multiLevelType w:val="multilevel"/>
    <w:tmpl w:val="579C63A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 w15:restartNumberingAfterBreak="0">
    <w:nsid w:val="1E5E2FAE"/>
    <w:multiLevelType w:val="multilevel"/>
    <w:tmpl w:val="5CDE2210"/>
    <w:lvl w:ilvl="0">
      <w:start w:val="1"/>
      <w:numFmt w:val="decimal"/>
      <w:lvlText w:val="%1)"/>
      <w:lvlJc w:val="left"/>
      <w:pPr>
        <w:ind w:left="1068" w:hanging="360"/>
      </w:pPr>
      <w:rPr>
        <w:rFonts w:hint="default"/>
        <w:u w:val="none"/>
      </w:rPr>
    </w:lvl>
    <w:lvl w:ilvl="1">
      <w:start w:val="1"/>
      <w:numFmt w:val="decimal"/>
      <w:lvlText w:val="%2)"/>
      <w:lvlJc w:val="left"/>
      <w:pPr>
        <w:ind w:left="1788" w:hanging="360"/>
      </w:pPr>
      <w:rPr>
        <w:rFonts w:hint="default"/>
      </w:rPr>
    </w:lvl>
    <w:lvl w:ilvl="2">
      <w:start w:val="1"/>
      <w:numFmt w:val="lowerRoman"/>
      <w:lvlText w:val="%3)"/>
      <w:lvlJc w:val="right"/>
      <w:pPr>
        <w:ind w:left="2508" w:hanging="360"/>
      </w:pPr>
      <w:rPr>
        <w:rFonts w:hint="default"/>
        <w:u w:val="none"/>
      </w:rPr>
    </w:lvl>
    <w:lvl w:ilvl="3">
      <w:start w:val="1"/>
      <w:numFmt w:val="decimal"/>
      <w:lvlText w:val="(%4)"/>
      <w:lvlJc w:val="left"/>
      <w:pPr>
        <w:ind w:left="3228" w:hanging="360"/>
      </w:pPr>
      <w:rPr>
        <w:rFonts w:hint="default"/>
        <w:u w:val="none"/>
      </w:rPr>
    </w:lvl>
    <w:lvl w:ilvl="4">
      <w:start w:val="1"/>
      <w:numFmt w:val="lowerLetter"/>
      <w:lvlText w:val="(%5)"/>
      <w:lvlJc w:val="left"/>
      <w:pPr>
        <w:ind w:left="3948" w:hanging="360"/>
      </w:pPr>
      <w:rPr>
        <w:rFonts w:hint="default"/>
        <w:u w:val="none"/>
      </w:rPr>
    </w:lvl>
    <w:lvl w:ilvl="5">
      <w:start w:val="1"/>
      <w:numFmt w:val="lowerRoman"/>
      <w:lvlText w:val="(%6)"/>
      <w:lvlJc w:val="right"/>
      <w:pPr>
        <w:ind w:left="4668" w:hanging="360"/>
      </w:pPr>
      <w:rPr>
        <w:rFonts w:hint="default"/>
        <w:u w:val="none"/>
      </w:rPr>
    </w:lvl>
    <w:lvl w:ilvl="6">
      <w:start w:val="1"/>
      <w:numFmt w:val="decimal"/>
      <w:lvlText w:val="%7."/>
      <w:lvlJc w:val="left"/>
      <w:pPr>
        <w:ind w:left="5388" w:hanging="360"/>
      </w:pPr>
      <w:rPr>
        <w:rFonts w:hint="default"/>
        <w:u w:val="none"/>
      </w:rPr>
    </w:lvl>
    <w:lvl w:ilvl="7">
      <w:start w:val="1"/>
      <w:numFmt w:val="lowerLetter"/>
      <w:lvlText w:val="%8."/>
      <w:lvlJc w:val="left"/>
      <w:pPr>
        <w:ind w:left="6108" w:hanging="360"/>
      </w:pPr>
      <w:rPr>
        <w:rFonts w:hint="default"/>
        <w:u w:val="none"/>
      </w:rPr>
    </w:lvl>
    <w:lvl w:ilvl="8">
      <w:start w:val="1"/>
      <w:numFmt w:val="lowerRoman"/>
      <w:lvlText w:val="%9."/>
      <w:lvlJc w:val="right"/>
      <w:pPr>
        <w:ind w:left="6828" w:hanging="360"/>
      </w:pPr>
      <w:rPr>
        <w:rFonts w:hint="default"/>
        <w:u w:val="none"/>
      </w:rPr>
    </w:lvl>
  </w:abstractNum>
  <w:abstractNum w:abstractNumId="9" w15:restartNumberingAfterBreak="0">
    <w:nsid w:val="21183F39"/>
    <w:multiLevelType w:val="multilevel"/>
    <w:tmpl w:val="F95E4BA0"/>
    <w:lvl w:ilvl="0">
      <w:start w:val="1"/>
      <w:numFmt w:val="decimal"/>
      <w:lvlText w:val="%1)"/>
      <w:lvlJc w:val="left"/>
      <w:pPr>
        <w:ind w:left="1066" w:hanging="358"/>
      </w:pPr>
      <w:rPr>
        <w:rFonts w:ascii="Arial Narrow" w:eastAsia="Tahoma" w:hAnsi="Arial Narrow" w:cs="Tahoma" w:hint="default"/>
        <w:sz w:val="22"/>
        <w:szCs w:val="22"/>
      </w:rPr>
    </w:lvl>
    <w:lvl w:ilvl="1">
      <w:start w:val="1"/>
      <w:numFmt w:val="lowerLetter"/>
      <w:lvlText w:val="%2)"/>
      <w:lvlJc w:val="left"/>
      <w:pPr>
        <w:ind w:left="1429" w:hanging="357"/>
      </w:pPr>
      <w:rPr>
        <w:rFonts w:ascii="Arial Narrow" w:eastAsia="Arial MT" w:hAnsi="Arial Narrow" w:cs="Arial MT" w:hint="default"/>
        <w:sz w:val="22"/>
        <w:szCs w:val="22"/>
      </w:rPr>
    </w:lvl>
    <w:lvl w:ilvl="2">
      <w:numFmt w:val="bullet"/>
      <w:lvlText w:val="•"/>
      <w:lvlJc w:val="left"/>
      <w:pPr>
        <w:ind w:left="2308" w:hanging="357"/>
      </w:pPr>
    </w:lvl>
    <w:lvl w:ilvl="3">
      <w:numFmt w:val="bullet"/>
      <w:lvlText w:val="•"/>
      <w:lvlJc w:val="left"/>
      <w:pPr>
        <w:ind w:left="3178" w:hanging="358"/>
      </w:pPr>
    </w:lvl>
    <w:lvl w:ilvl="4">
      <w:numFmt w:val="bullet"/>
      <w:lvlText w:val="•"/>
      <w:lvlJc w:val="left"/>
      <w:pPr>
        <w:ind w:left="4047" w:hanging="358"/>
      </w:pPr>
    </w:lvl>
    <w:lvl w:ilvl="5">
      <w:numFmt w:val="bullet"/>
      <w:lvlText w:val="•"/>
      <w:lvlJc w:val="left"/>
      <w:pPr>
        <w:ind w:left="4917" w:hanging="358"/>
      </w:pPr>
    </w:lvl>
    <w:lvl w:ilvl="6">
      <w:numFmt w:val="bullet"/>
      <w:lvlText w:val="•"/>
      <w:lvlJc w:val="left"/>
      <w:pPr>
        <w:ind w:left="5787" w:hanging="357"/>
      </w:pPr>
    </w:lvl>
    <w:lvl w:ilvl="7">
      <w:numFmt w:val="bullet"/>
      <w:lvlText w:val="•"/>
      <w:lvlJc w:val="left"/>
      <w:pPr>
        <w:ind w:left="6656" w:hanging="357"/>
      </w:pPr>
    </w:lvl>
    <w:lvl w:ilvl="8">
      <w:numFmt w:val="bullet"/>
      <w:lvlText w:val="•"/>
      <w:lvlJc w:val="left"/>
      <w:pPr>
        <w:ind w:left="7526" w:hanging="357"/>
      </w:pPr>
    </w:lvl>
  </w:abstractNum>
  <w:abstractNum w:abstractNumId="10" w15:restartNumberingAfterBreak="0">
    <w:nsid w:val="278133B5"/>
    <w:multiLevelType w:val="multilevel"/>
    <w:tmpl w:val="D64E3060"/>
    <w:lvl w:ilvl="0">
      <w:start w:val="1"/>
      <w:numFmt w:val="decimal"/>
      <w:lvlText w:val="%1."/>
      <w:lvlJc w:val="left"/>
      <w:pPr>
        <w:ind w:left="360" w:hanging="360"/>
      </w:pPr>
      <w:rPr>
        <w:u w:val="none"/>
      </w:rPr>
    </w:lvl>
    <w:lvl w:ilvl="1">
      <w:start w:val="1"/>
      <w:numFmt w:val="lowerLetter"/>
      <w:lvlText w:val="%2."/>
      <w:lvlJc w:val="left"/>
      <w:pPr>
        <w:ind w:left="1080" w:hanging="360"/>
      </w:pPr>
    </w:lvl>
    <w:lvl w:ilvl="2">
      <w:start w:val="1"/>
      <w:numFmt w:val="lowerLetter"/>
      <w:lvlText w:val="%3)"/>
      <w:lvlJc w:val="left"/>
      <w:pPr>
        <w:ind w:left="1800" w:hanging="360"/>
      </w:p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1" w15:restartNumberingAfterBreak="0">
    <w:nsid w:val="283E18AE"/>
    <w:multiLevelType w:val="multilevel"/>
    <w:tmpl w:val="0ADE462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2" w15:restartNumberingAfterBreak="0">
    <w:nsid w:val="2A2B726C"/>
    <w:multiLevelType w:val="multilevel"/>
    <w:tmpl w:val="E7065A72"/>
    <w:lvl w:ilvl="0">
      <w:start w:val="1"/>
      <w:numFmt w:val="lowerLetter"/>
      <w:lvlText w:val="%1."/>
      <w:lvlJc w:val="left"/>
      <w:pPr>
        <w:ind w:left="1068" w:hanging="360"/>
      </w:pPr>
      <w:rPr>
        <w:sz w:val="22"/>
        <w:szCs w:val="22"/>
      </w:rPr>
    </w:lvl>
    <w:lvl w:ilvl="1">
      <w:numFmt w:val="bullet"/>
      <w:lvlText w:val="•"/>
      <w:lvlJc w:val="left"/>
      <w:pPr>
        <w:ind w:left="1832" w:hanging="360"/>
      </w:pPr>
    </w:lvl>
    <w:lvl w:ilvl="2">
      <w:numFmt w:val="bullet"/>
      <w:lvlText w:val="•"/>
      <w:lvlJc w:val="left"/>
      <w:pPr>
        <w:ind w:left="2599" w:hanging="360"/>
      </w:pPr>
    </w:lvl>
    <w:lvl w:ilvl="3">
      <w:numFmt w:val="bullet"/>
      <w:lvlText w:val="•"/>
      <w:lvlJc w:val="left"/>
      <w:pPr>
        <w:ind w:left="3365" w:hanging="360"/>
      </w:pPr>
    </w:lvl>
    <w:lvl w:ilvl="4">
      <w:numFmt w:val="bullet"/>
      <w:lvlText w:val="•"/>
      <w:lvlJc w:val="left"/>
      <w:pPr>
        <w:ind w:left="4132" w:hanging="360"/>
      </w:pPr>
    </w:lvl>
    <w:lvl w:ilvl="5">
      <w:numFmt w:val="bullet"/>
      <w:lvlText w:val="•"/>
      <w:lvlJc w:val="left"/>
      <w:pPr>
        <w:ind w:left="4899" w:hanging="360"/>
      </w:pPr>
    </w:lvl>
    <w:lvl w:ilvl="6">
      <w:numFmt w:val="bullet"/>
      <w:lvlText w:val="•"/>
      <w:lvlJc w:val="left"/>
      <w:pPr>
        <w:ind w:left="5665" w:hanging="360"/>
      </w:pPr>
    </w:lvl>
    <w:lvl w:ilvl="7">
      <w:numFmt w:val="bullet"/>
      <w:lvlText w:val="•"/>
      <w:lvlJc w:val="left"/>
      <w:pPr>
        <w:ind w:left="6432" w:hanging="360"/>
      </w:pPr>
    </w:lvl>
    <w:lvl w:ilvl="8">
      <w:numFmt w:val="bullet"/>
      <w:lvlText w:val="•"/>
      <w:lvlJc w:val="left"/>
      <w:pPr>
        <w:ind w:left="7199" w:hanging="360"/>
      </w:pPr>
    </w:lvl>
  </w:abstractNum>
  <w:abstractNum w:abstractNumId="13" w15:restartNumberingAfterBreak="0">
    <w:nsid w:val="2A9006C8"/>
    <w:multiLevelType w:val="multilevel"/>
    <w:tmpl w:val="D19E548C"/>
    <w:lvl w:ilvl="0">
      <w:start w:val="1"/>
      <w:numFmt w:val="decimal"/>
      <w:lvlText w:val="%1)"/>
      <w:lvlJc w:val="left"/>
      <w:pPr>
        <w:ind w:left="1440" w:hanging="360"/>
      </w:pPr>
      <w:rPr>
        <w:u w:val="none"/>
      </w:rPr>
    </w:lvl>
    <w:lvl w:ilvl="1">
      <w:start w:val="1"/>
      <w:numFmt w:val="decimal"/>
      <w:lvlText w:val="%2)"/>
      <w:lvlJc w:val="left"/>
      <w:pPr>
        <w:ind w:left="2160" w:hanging="360"/>
      </w:pPr>
    </w:lvl>
    <w:lvl w:ilvl="2">
      <w:start w:val="1"/>
      <w:numFmt w:val="lowerLetter"/>
      <w:lvlText w:val="%3)"/>
      <w:lvlJc w:val="left"/>
      <w:pPr>
        <w:ind w:left="2880" w:hanging="360"/>
      </w:p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2CDE75DF"/>
    <w:multiLevelType w:val="multilevel"/>
    <w:tmpl w:val="758853CE"/>
    <w:lvl w:ilvl="0">
      <w:start w:val="1"/>
      <w:numFmt w:val="lowerLetter"/>
      <w:lvlText w:val="%1."/>
      <w:lvlJc w:val="left"/>
      <w:pPr>
        <w:ind w:left="740" w:hanging="360"/>
      </w:pPr>
      <w:rPr>
        <w:u w:val="none"/>
      </w:rPr>
    </w:lvl>
    <w:lvl w:ilvl="1">
      <w:start w:val="1"/>
      <w:numFmt w:val="lowerRoman"/>
      <w:lvlText w:val="%2)"/>
      <w:lvlJc w:val="right"/>
      <w:pPr>
        <w:ind w:left="1460" w:hanging="360"/>
      </w:pPr>
      <w:rPr>
        <w:u w:val="none"/>
      </w:rPr>
    </w:lvl>
    <w:lvl w:ilvl="2">
      <w:start w:val="1"/>
      <w:numFmt w:val="decimal"/>
      <w:lvlText w:val="%3)"/>
      <w:lvlJc w:val="left"/>
      <w:pPr>
        <w:ind w:left="2180" w:hanging="360"/>
      </w:pPr>
      <w:rPr>
        <w:u w:val="none"/>
      </w:rPr>
    </w:lvl>
    <w:lvl w:ilvl="3">
      <w:start w:val="1"/>
      <w:numFmt w:val="lowerLetter"/>
      <w:lvlText w:val="(%4)"/>
      <w:lvlJc w:val="left"/>
      <w:pPr>
        <w:ind w:left="2900" w:hanging="360"/>
      </w:pPr>
      <w:rPr>
        <w:u w:val="none"/>
      </w:rPr>
    </w:lvl>
    <w:lvl w:ilvl="4">
      <w:start w:val="1"/>
      <w:numFmt w:val="lowerRoman"/>
      <w:lvlText w:val="(%5)"/>
      <w:lvlJc w:val="right"/>
      <w:pPr>
        <w:ind w:left="3620" w:hanging="360"/>
      </w:pPr>
      <w:rPr>
        <w:u w:val="none"/>
      </w:rPr>
    </w:lvl>
    <w:lvl w:ilvl="5">
      <w:start w:val="1"/>
      <w:numFmt w:val="decimal"/>
      <w:lvlText w:val="(%6)"/>
      <w:lvlJc w:val="left"/>
      <w:pPr>
        <w:ind w:left="4340" w:hanging="360"/>
      </w:pPr>
      <w:rPr>
        <w:u w:val="none"/>
      </w:rPr>
    </w:lvl>
    <w:lvl w:ilvl="6">
      <w:start w:val="1"/>
      <w:numFmt w:val="lowerLetter"/>
      <w:lvlText w:val="%7."/>
      <w:lvlJc w:val="left"/>
      <w:pPr>
        <w:ind w:left="5060" w:hanging="360"/>
      </w:pPr>
      <w:rPr>
        <w:u w:val="none"/>
      </w:rPr>
    </w:lvl>
    <w:lvl w:ilvl="7">
      <w:start w:val="1"/>
      <w:numFmt w:val="lowerRoman"/>
      <w:lvlText w:val="%8."/>
      <w:lvlJc w:val="right"/>
      <w:pPr>
        <w:ind w:left="5780" w:hanging="360"/>
      </w:pPr>
      <w:rPr>
        <w:u w:val="none"/>
      </w:rPr>
    </w:lvl>
    <w:lvl w:ilvl="8">
      <w:start w:val="1"/>
      <w:numFmt w:val="decimal"/>
      <w:lvlText w:val="%9."/>
      <w:lvlJc w:val="left"/>
      <w:pPr>
        <w:ind w:left="6500" w:hanging="360"/>
      </w:pPr>
      <w:rPr>
        <w:u w:val="none"/>
      </w:rPr>
    </w:lvl>
  </w:abstractNum>
  <w:abstractNum w:abstractNumId="15" w15:restartNumberingAfterBreak="0">
    <w:nsid w:val="2D862F0C"/>
    <w:multiLevelType w:val="multilevel"/>
    <w:tmpl w:val="5B8EAA80"/>
    <w:lvl w:ilvl="0">
      <w:start w:val="1"/>
      <w:numFmt w:val="decimal"/>
      <w:lvlText w:val="%1)"/>
      <w:lvlJc w:val="left"/>
      <w:pPr>
        <w:ind w:left="1068" w:hanging="360"/>
      </w:pPr>
      <w:rPr>
        <w:u w:val="none"/>
      </w:rPr>
    </w:lvl>
    <w:lvl w:ilvl="1">
      <w:start w:val="1"/>
      <w:numFmt w:val="lowerLetter"/>
      <w:lvlText w:val="%2)"/>
      <w:lvlJc w:val="left"/>
      <w:pPr>
        <w:ind w:left="1788" w:hanging="360"/>
      </w:pPr>
      <w:rPr>
        <w:u w:val="none"/>
      </w:rPr>
    </w:lvl>
    <w:lvl w:ilvl="2">
      <w:start w:val="1"/>
      <w:numFmt w:val="lowerRoman"/>
      <w:lvlText w:val="%3)"/>
      <w:lvlJc w:val="right"/>
      <w:pPr>
        <w:ind w:left="2508" w:hanging="360"/>
      </w:pPr>
      <w:rPr>
        <w:u w:val="none"/>
      </w:rPr>
    </w:lvl>
    <w:lvl w:ilvl="3">
      <w:start w:val="1"/>
      <w:numFmt w:val="decimal"/>
      <w:lvlText w:val="(%4)"/>
      <w:lvlJc w:val="left"/>
      <w:pPr>
        <w:ind w:left="3228" w:hanging="360"/>
      </w:pPr>
      <w:rPr>
        <w:u w:val="none"/>
      </w:rPr>
    </w:lvl>
    <w:lvl w:ilvl="4">
      <w:start w:val="1"/>
      <w:numFmt w:val="lowerLetter"/>
      <w:lvlText w:val="(%5)"/>
      <w:lvlJc w:val="left"/>
      <w:pPr>
        <w:ind w:left="3948" w:hanging="360"/>
      </w:pPr>
      <w:rPr>
        <w:u w:val="none"/>
      </w:rPr>
    </w:lvl>
    <w:lvl w:ilvl="5">
      <w:start w:val="1"/>
      <w:numFmt w:val="lowerRoman"/>
      <w:lvlText w:val="(%6)"/>
      <w:lvlJc w:val="right"/>
      <w:pPr>
        <w:ind w:left="4668" w:hanging="360"/>
      </w:pPr>
      <w:rPr>
        <w:u w:val="none"/>
      </w:rPr>
    </w:lvl>
    <w:lvl w:ilvl="6">
      <w:start w:val="1"/>
      <w:numFmt w:val="decimal"/>
      <w:lvlText w:val="%7."/>
      <w:lvlJc w:val="left"/>
      <w:pPr>
        <w:ind w:left="5388" w:hanging="360"/>
      </w:pPr>
      <w:rPr>
        <w:u w:val="none"/>
      </w:rPr>
    </w:lvl>
    <w:lvl w:ilvl="7">
      <w:start w:val="1"/>
      <w:numFmt w:val="lowerLetter"/>
      <w:lvlText w:val="%8."/>
      <w:lvlJc w:val="left"/>
      <w:pPr>
        <w:ind w:left="6108" w:hanging="360"/>
      </w:pPr>
      <w:rPr>
        <w:u w:val="none"/>
      </w:rPr>
    </w:lvl>
    <w:lvl w:ilvl="8">
      <w:start w:val="1"/>
      <w:numFmt w:val="lowerRoman"/>
      <w:lvlText w:val="%9."/>
      <w:lvlJc w:val="right"/>
      <w:pPr>
        <w:ind w:left="6828" w:hanging="360"/>
      </w:pPr>
      <w:rPr>
        <w:u w:val="none"/>
      </w:rPr>
    </w:lvl>
  </w:abstractNum>
  <w:abstractNum w:abstractNumId="16" w15:restartNumberingAfterBreak="0">
    <w:nsid w:val="2EAF2209"/>
    <w:multiLevelType w:val="multilevel"/>
    <w:tmpl w:val="CB12E544"/>
    <w:lvl w:ilvl="0">
      <w:start w:val="1"/>
      <w:numFmt w:val="decimal"/>
      <w:lvlText w:val="%1."/>
      <w:lvlJc w:val="left"/>
      <w:pPr>
        <w:ind w:left="270" w:hanging="360"/>
      </w:pPr>
      <w:rPr>
        <w:u w:val="none"/>
      </w:rPr>
    </w:lvl>
    <w:lvl w:ilvl="1">
      <w:start w:val="1"/>
      <w:numFmt w:val="lowerLetter"/>
      <w:lvlText w:val="%2."/>
      <w:lvlJc w:val="left"/>
      <w:pPr>
        <w:ind w:left="990" w:hanging="360"/>
      </w:pPr>
      <w:rPr>
        <w:u w:val="none"/>
      </w:rPr>
    </w:lvl>
    <w:lvl w:ilvl="2">
      <w:start w:val="1"/>
      <w:numFmt w:val="lowerRoman"/>
      <w:lvlText w:val="%3."/>
      <w:lvlJc w:val="right"/>
      <w:pPr>
        <w:ind w:left="1710" w:hanging="360"/>
      </w:pPr>
      <w:rPr>
        <w:u w:val="none"/>
      </w:rPr>
    </w:lvl>
    <w:lvl w:ilvl="3">
      <w:start w:val="1"/>
      <w:numFmt w:val="decimal"/>
      <w:lvlText w:val="%4."/>
      <w:lvlJc w:val="left"/>
      <w:pPr>
        <w:ind w:left="2430" w:hanging="360"/>
      </w:pPr>
      <w:rPr>
        <w:u w:val="none"/>
      </w:rPr>
    </w:lvl>
    <w:lvl w:ilvl="4">
      <w:start w:val="1"/>
      <w:numFmt w:val="lowerLetter"/>
      <w:lvlText w:val="%5."/>
      <w:lvlJc w:val="left"/>
      <w:pPr>
        <w:ind w:left="3150" w:hanging="360"/>
      </w:pPr>
      <w:rPr>
        <w:u w:val="none"/>
      </w:rPr>
    </w:lvl>
    <w:lvl w:ilvl="5">
      <w:start w:val="1"/>
      <w:numFmt w:val="lowerRoman"/>
      <w:lvlText w:val="%6."/>
      <w:lvlJc w:val="right"/>
      <w:pPr>
        <w:ind w:left="3870" w:hanging="360"/>
      </w:pPr>
      <w:rPr>
        <w:u w:val="none"/>
      </w:rPr>
    </w:lvl>
    <w:lvl w:ilvl="6">
      <w:start w:val="1"/>
      <w:numFmt w:val="decimal"/>
      <w:lvlText w:val="%7."/>
      <w:lvlJc w:val="left"/>
      <w:pPr>
        <w:ind w:left="4590" w:hanging="360"/>
      </w:pPr>
      <w:rPr>
        <w:u w:val="none"/>
      </w:rPr>
    </w:lvl>
    <w:lvl w:ilvl="7">
      <w:start w:val="1"/>
      <w:numFmt w:val="lowerLetter"/>
      <w:lvlText w:val="%8."/>
      <w:lvlJc w:val="left"/>
      <w:pPr>
        <w:ind w:left="5310" w:hanging="360"/>
      </w:pPr>
      <w:rPr>
        <w:u w:val="none"/>
      </w:rPr>
    </w:lvl>
    <w:lvl w:ilvl="8">
      <w:start w:val="1"/>
      <w:numFmt w:val="lowerRoman"/>
      <w:lvlText w:val="%9."/>
      <w:lvlJc w:val="right"/>
      <w:pPr>
        <w:ind w:left="6030" w:hanging="360"/>
      </w:pPr>
      <w:rPr>
        <w:u w:val="none"/>
      </w:rPr>
    </w:lvl>
  </w:abstractNum>
  <w:abstractNum w:abstractNumId="17" w15:restartNumberingAfterBreak="0">
    <w:nsid w:val="30846B11"/>
    <w:multiLevelType w:val="multilevel"/>
    <w:tmpl w:val="541E854C"/>
    <w:lvl w:ilvl="0">
      <w:start w:val="1"/>
      <w:numFmt w:val="lowerLetter"/>
      <w:lvlText w:val="%1)"/>
      <w:lvlJc w:val="left"/>
      <w:pPr>
        <w:ind w:left="1068" w:hanging="360"/>
      </w:pPr>
      <w:rPr>
        <w:u w:val="none"/>
      </w:rPr>
    </w:lvl>
    <w:lvl w:ilvl="1">
      <w:start w:val="1"/>
      <w:numFmt w:val="lowerRoman"/>
      <w:lvlText w:val="%2)"/>
      <w:lvlJc w:val="right"/>
      <w:pPr>
        <w:ind w:left="1788" w:hanging="360"/>
      </w:pPr>
      <w:rPr>
        <w:u w:val="none"/>
      </w:rPr>
    </w:lvl>
    <w:lvl w:ilvl="2">
      <w:start w:val="1"/>
      <w:numFmt w:val="decimal"/>
      <w:lvlText w:val="%3)"/>
      <w:lvlJc w:val="left"/>
      <w:pPr>
        <w:ind w:left="2508" w:hanging="360"/>
      </w:pPr>
      <w:rPr>
        <w:u w:val="none"/>
      </w:rPr>
    </w:lvl>
    <w:lvl w:ilvl="3">
      <w:start w:val="1"/>
      <w:numFmt w:val="lowerLetter"/>
      <w:lvlText w:val="(%4)"/>
      <w:lvlJc w:val="left"/>
      <w:pPr>
        <w:ind w:left="3228" w:hanging="360"/>
      </w:pPr>
      <w:rPr>
        <w:u w:val="none"/>
      </w:rPr>
    </w:lvl>
    <w:lvl w:ilvl="4">
      <w:start w:val="1"/>
      <w:numFmt w:val="lowerRoman"/>
      <w:lvlText w:val="(%5)"/>
      <w:lvlJc w:val="right"/>
      <w:pPr>
        <w:ind w:left="3948" w:hanging="360"/>
      </w:pPr>
      <w:rPr>
        <w:u w:val="none"/>
      </w:rPr>
    </w:lvl>
    <w:lvl w:ilvl="5">
      <w:start w:val="1"/>
      <w:numFmt w:val="decimal"/>
      <w:lvlText w:val="(%6)"/>
      <w:lvlJc w:val="left"/>
      <w:pPr>
        <w:ind w:left="4668" w:hanging="360"/>
      </w:pPr>
      <w:rPr>
        <w:u w:val="none"/>
      </w:rPr>
    </w:lvl>
    <w:lvl w:ilvl="6">
      <w:start w:val="1"/>
      <w:numFmt w:val="lowerLetter"/>
      <w:lvlText w:val="%7."/>
      <w:lvlJc w:val="left"/>
      <w:pPr>
        <w:ind w:left="5388" w:hanging="360"/>
      </w:pPr>
      <w:rPr>
        <w:u w:val="none"/>
      </w:rPr>
    </w:lvl>
    <w:lvl w:ilvl="7">
      <w:start w:val="1"/>
      <w:numFmt w:val="lowerRoman"/>
      <w:lvlText w:val="%8."/>
      <w:lvlJc w:val="right"/>
      <w:pPr>
        <w:ind w:left="6108" w:hanging="360"/>
      </w:pPr>
      <w:rPr>
        <w:u w:val="none"/>
      </w:rPr>
    </w:lvl>
    <w:lvl w:ilvl="8">
      <w:start w:val="1"/>
      <w:numFmt w:val="decimal"/>
      <w:lvlText w:val="%9."/>
      <w:lvlJc w:val="left"/>
      <w:pPr>
        <w:ind w:left="6828" w:hanging="360"/>
      </w:pPr>
      <w:rPr>
        <w:u w:val="none"/>
      </w:rPr>
    </w:lvl>
  </w:abstractNum>
  <w:abstractNum w:abstractNumId="18" w15:restartNumberingAfterBreak="0">
    <w:nsid w:val="34780DB5"/>
    <w:multiLevelType w:val="multilevel"/>
    <w:tmpl w:val="0468602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9" w15:restartNumberingAfterBreak="0">
    <w:nsid w:val="3817197D"/>
    <w:multiLevelType w:val="multilevel"/>
    <w:tmpl w:val="1840B148"/>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A7606B7"/>
    <w:multiLevelType w:val="multilevel"/>
    <w:tmpl w:val="94061E8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1" w15:restartNumberingAfterBreak="0">
    <w:nsid w:val="3F321A68"/>
    <w:multiLevelType w:val="multilevel"/>
    <w:tmpl w:val="5BBE1FD0"/>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22" w15:restartNumberingAfterBreak="0">
    <w:nsid w:val="41675E87"/>
    <w:multiLevelType w:val="multilevel"/>
    <w:tmpl w:val="7914720C"/>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23" w15:restartNumberingAfterBreak="0">
    <w:nsid w:val="42C8360C"/>
    <w:multiLevelType w:val="multilevel"/>
    <w:tmpl w:val="41BE7DE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4" w15:restartNumberingAfterBreak="0">
    <w:nsid w:val="462F49BD"/>
    <w:multiLevelType w:val="multilevel"/>
    <w:tmpl w:val="1F5098AC"/>
    <w:lvl w:ilvl="0">
      <w:start w:val="2"/>
      <w:numFmt w:val="decimal"/>
      <w:lvlText w:val="%1."/>
      <w:lvlJc w:val="left"/>
      <w:pPr>
        <w:ind w:left="360" w:hanging="360"/>
      </w:pPr>
      <w:rPr>
        <w:rFonts w:hint="default"/>
        <w:u w:val="none"/>
      </w:rPr>
    </w:lvl>
    <w:lvl w:ilvl="1">
      <w:start w:val="1"/>
      <w:numFmt w:val="lowerLetter"/>
      <w:lvlText w:val="%2."/>
      <w:lvlJc w:val="left"/>
      <w:pPr>
        <w:ind w:left="1080" w:hanging="360"/>
      </w:pPr>
      <w:rPr>
        <w:rFonts w:hint="default"/>
        <w:u w:val="none"/>
      </w:rPr>
    </w:lvl>
    <w:lvl w:ilvl="2">
      <w:start w:val="1"/>
      <w:numFmt w:val="lowerRoman"/>
      <w:lvlText w:val="%3."/>
      <w:lvlJc w:val="right"/>
      <w:pPr>
        <w:ind w:left="1800" w:hanging="360"/>
      </w:pPr>
      <w:rPr>
        <w:rFonts w:hint="default"/>
        <w:u w:val="none"/>
      </w:rPr>
    </w:lvl>
    <w:lvl w:ilvl="3">
      <w:start w:val="1"/>
      <w:numFmt w:val="decimal"/>
      <w:lvlText w:val="%4."/>
      <w:lvlJc w:val="left"/>
      <w:pPr>
        <w:ind w:left="2520" w:hanging="360"/>
      </w:pPr>
      <w:rPr>
        <w:rFonts w:hint="default"/>
        <w:u w:val="none"/>
      </w:rPr>
    </w:lvl>
    <w:lvl w:ilvl="4">
      <w:start w:val="1"/>
      <w:numFmt w:val="lowerLetter"/>
      <w:lvlText w:val="%5."/>
      <w:lvlJc w:val="left"/>
      <w:pPr>
        <w:ind w:left="3240" w:hanging="360"/>
      </w:pPr>
      <w:rPr>
        <w:rFonts w:hint="default"/>
        <w:u w:val="none"/>
      </w:rPr>
    </w:lvl>
    <w:lvl w:ilvl="5">
      <w:start w:val="1"/>
      <w:numFmt w:val="lowerRoman"/>
      <w:lvlText w:val="%6."/>
      <w:lvlJc w:val="right"/>
      <w:pPr>
        <w:ind w:left="3960" w:hanging="360"/>
      </w:pPr>
      <w:rPr>
        <w:rFonts w:hint="default"/>
        <w:u w:val="none"/>
      </w:rPr>
    </w:lvl>
    <w:lvl w:ilvl="6">
      <w:start w:val="1"/>
      <w:numFmt w:val="decimal"/>
      <w:lvlText w:val="%7."/>
      <w:lvlJc w:val="left"/>
      <w:pPr>
        <w:ind w:left="4680" w:hanging="360"/>
      </w:pPr>
      <w:rPr>
        <w:rFonts w:hint="default"/>
        <w:u w:val="none"/>
      </w:rPr>
    </w:lvl>
    <w:lvl w:ilvl="7">
      <w:start w:val="1"/>
      <w:numFmt w:val="lowerLetter"/>
      <w:lvlText w:val="%8."/>
      <w:lvlJc w:val="left"/>
      <w:pPr>
        <w:ind w:left="5400" w:hanging="360"/>
      </w:pPr>
      <w:rPr>
        <w:rFonts w:hint="default"/>
        <w:u w:val="none"/>
      </w:rPr>
    </w:lvl>
    <w:lvl w:ilvl="8">
      <w:start w:val="1"/>
      <w:numFmt w:val="lowerRoman"/>
      <w:lvlText w:val="%9."/>
      <w:lvlJc w:val="right"/>
      <w:pPr>
        <w:ind w:left="6120" w:hanging="360"/>
      </w:pPr>
      <w:rPr>
        <w:rFonts w:hint="default"/>
        <w:u w:val="none"/>
      </w:rPr>
    </w:lvl>
  </w:abstractNum>
  <w:abstractNum w:abstractNumId="25" w15:restartNumberingAfterBreak="0">
    <w:nsid w:val="485C429E"/>
    <w:multiLevelType w:val="multilevel"/>
    <w:tmpl w:val="314A6E78"/>
    <w:lvl w:ilvl="0">
      <w:start w:val="1"/>
      <w:numFmt w:val="lowerLetter"/>
      <w:lvlText w:val="%1."/>
      <w:lvlJc w:val="left"/>
      <w:pPr>
        <w:ind w:left="1068" w:hanging="360"/>
      </w:pPr>
      <w:rPr>
        <w:u w:val="none"/>
      </w:rPr>
    </w:lvl>
    <w:lvl w:ilvl="1">
      <w:start w:val="1"/>
      <w:numFmt w:val="lowerLetter"/>
      <w:lvlText w:val="%2)"/>
      <w:lvlJc w:val="left"/>
      <w:pPr>
        <w:ind w:left="1788" w:hanging="360"/>
      </w:pPr>
      <w:rPr>
        <w:u w:val="none"/>
      </w:rPr>
    </w:lvl>
    <w:lvl w:ilvl="2">
      <w:start w:val="1"/>
      <w:numFmt w:val="lowerRoman"/>
      <w:lvlText w:val="%3)"/>
      <w:lvlJc w:val="right"/>
      <w:pPr>
        <w:ind w:left="2508" w:hanging="360"/>
      </w:pPr>
      <w:rPr>
        <w:u w:val="none"/>
      </w:rPr>
    </w:lvl>
    <w:lvl w:ilvl="3">
      <w:start w:val="1"/>
      <w:numFmt w:val="decimal"/>
      <w:lvlText w:val="(%4)"/>
      <w:lvlJc w:val="left"/>
      <w:pPr>
        <w:ind w:left="3228" w:hanging="360"/>
      </w:pPr>
      <w:rPr>
        <w:u w:val="none"/>
      </w:rPr>
    </w:lvl>
    <w:lvl w:ilvl="4">
      <w:start w:val="1"/>
      <w:numFmt w:val="lowerLetter"/>
      <w:lvlText w:val="(%5)"/>
      <w:lvlJc w:val="left"/>
      <w:pPr>
        <w:ind w:left="3948" w:hanging="360"/>
      </w:pPr>
      <w:rPr>
        <w:u w:val="none"/>
      </w:rPr>
    </w:lvl>
    <w:lvl w:ilvl="5">
      <w:start w:val="1"/>
      <w:numFmt w:val="lowerRoman"/>
      <w:lvlText w:val="(%6)"/>
      <w:lvlJc w:val="right"/>
      <w:pPr>
        <w:ind w:left="4668" w:hanging="360"/>
      </w:pPr>
      <w:rPr>
        <w:u w:val="none"/>
      </w:rPr>
    </w:lvl>
    <w:lvl w:ilvl="6">
      <w:start w:val="1"/>
      <w:numFmt w:val="decimal"/>
      <w:lvlText w:val="%7."/>
      <w:lvlJc w:val="left"/>
      <w:pPr>
        <w:ind w:left="5388" w:hanging="360"/>
      </w:pPr>
      <w:rPr>
        <w:u w:val="none"/>
      </w:rPr>
    </w:lvl>
    <w:lvl w:ilvl="7">
      <w:start w:val="1"/>
      <w:numFmt w:val="lowerLetter"/>
      <w:lvlText w:val="%8."/>
      <w:lvlJc w:val="left"/>
      <w:pPr>
        <w:ind w:left="6108" w:hanging="360"/>
      </w:pPr>
      <w:rPr>
        <w:u w:val="none"/>
      </w:rPr>
    </w:lvl>
    <w:lvl w:ilvl="8">
      <w:start w:val="1"/>
      <w:numFmt w:val="lowerRoman"/>
      <w:lvlText w:val="%9."/>
      <w:lvlJc w:val="right"/>
      <w:pPr>
        <w:ind w:left="6828" w:hanging="360"/>
      </w:pPr>
      <w:rPr>
        <w:u w:val="none"/>
      </w:rPr>
    </w:lvl>
  </w:abstractNum>
  <w:abstractNum w:abstractNumId="26" w15:restartNumberingAfterBreak="0">
    <w:nsid w:val="4ABB227B"/>
    <w:multiLevelType w:val="hybridMultilevel"/>
    <w:tmpl w:val="0D04ACD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7" w15:restartNumberingAfterBreak="0">
    <w:nsid w:val="4CE947E0"/>
    <w:multiLevelType w:val="hybridMultilevel"/>
    <w:tmpl w:val="4BE28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ED16BDC"/>
    <w:multiLevelType w:val="multilevel"/>
    <w:tmpl w:val="182CBB00"/>
    <w:lvl w:ilvl="0">
      <w:start w:val="1"/>
      <w:numFmt w:val="decimal"/>
      <w:lvlText w:val="%1)"/>
      <w:lvlJc w:val="left"/>
      <w:pPr>
        <w:ind w:left="1068" w:hanging="360"/>
      </w:pPr>
      <w:rPr>
        <w:u w:val="none"/>
      </w:rPr>
    </w:lvl>
    <w:lvl w:ilvl="1">
      <w:start w:val="1"/>
      <w:numFmt w:val="lowerLetter"/>
      <w:lvlText w:val="%2)"/>
      <w:lvlJc w:val="left"/>
      <w:pPr>
        <w:ind w:left="1788" w:hanging="360"/>
      </w:pPr>
    </w:lvl>
    <w:lvl w:ilvl="2">
      <w:start w:val="1"/>
      <w:numFmt w:val="lowerRoman"/>
      <w:lvlText w:val="%3)"/>
      <w:lvlJc w:val="right"/>
      <w:pPr>
        <w:ind w:left="2508" w:hanging="360"/>
      </w:pPr>
      <w:rPr>
        <w:u w:val="none"/>
      </w:rPr>
    </w:lvl>
    <w:lvl w:ilvl="3">
      <w:start w:val="1"/>
      <w:numFmt w:val="decimal"/>
      <w:lvlText w:val="(%4)"/>
      <w:lvlJc w:val="left"/>
      <w:pPr>
        <w:ind w:left="3228" w:hanging="360"/>
      </w:pPr>
      <w:rPr>
        <w:u w:val="none"/>
      </w:rPr>
    </w:lvl>
    <w:lvl w:ilvl="4">
      <w:start w:val="1"/>
      <w:numFmt w:val="lowerLetter"/>
      <w:lvlText w:val="(%5)"/>
      <w:lvlJc w:val="left"/>
      <w:pPr>
        <w:ind w:left="3948" w:hanging="360"/>
      </w:pPr>
      <w:rPr>
        <w:u w:val="none"/>
      </w:rPr>
    </w:lvl>
    <w:lvl w:ilvl="5">
      <w:start w:val="1"/>
      <w:numFmt w:val="lowerRoman"/>
      <w:lvlText w:val="(%6)"/>
      <w:lvlJc w:val="right"/>
      <w:pPr>
        <w:ind w:left="4668" w:hanging="360"/>
      </w:pPr>
      <w:rPr>
        <w:u w:val="none"/>
      </w:rPr>
    </w:lvl>
    <w:lvl w:ilvl="6">
      <w:start w:val="1"/>
      <w:numFmt w:val="decimal"/>
      <w:lvlText w:val="%7."/>
      <w:lvlJc w:val="left"/>
      <w:pPr>
        <w:ind w:left="5388" w:hanging="360"/>
      </w:pPr>
      <w:rPr>
        <w:u w:val="none"/>
      </w:rPr>
    </w:lvl>
    <w:lvl w:ilvl="7">
      <w:start w:val="1"/>
      <w:numFmt w:val="lowerLetter"/>
      <w:lvlText w:val="%8."/>
      <w:lvlJc w:val="left"/>
      <w:pPr>
        <w:ind w:left="6108" w:hanging="360"/>
      </w:pPr>
      <w:rPr>
        <w:u w:val="none"/>
      </w:rPr>
    </w:lvl>
    <w:lvl w:ilvl="8">
      <w:start w:val="1"/>
      <w:numFmt w:val="lowerRoman"/>
      <w:lvlText w:val="%9."/>
      <w:lvlJc w:val="right"/>
      <w:pPr>
        <w:ind w:left="6828" w:hanging="360"/>
      </w:pPr>
      <w:rPr>
        <w:u w:val="none"/>
      </w:rPr>
    </w:lvl>
  </w:abstractNum>
  <w:abstractNum w:abstractNumId="29" w15:restartNumberingAfterBreak="0">
    <w:nsid w:val="556F4E0C"/>
    <w:multiLevelType w:val="multilevel"/>
    <w:tmpl w:val="EF680D9C"/>
    <w:lvl w:ilvl="0">
      <w:start w:val="1"/>
      <w:numFmt w:val="lowerLetter"/>
      <w:lvlText w:val="%1)"/>
      <w:lvlJc w:val="left"/>
      <w:pPr>
        <w:ind w:left="-201" w:hanging="360"/>
      </w:pPr>
      <w:rPr>
        <w:u w:val="none"/>
      </w:rPr>
    </w:lvl>
    <w:lvl w:ilvl="1">
      <w:start w:val="1"/>
      <w:numFmt w:val="lowerRoman"/>
      <w:lvlText w:val="%2)"/>
      <w:lvlJc w:val="right"/>
      <w:pPr>
        <w:ind w:left="519" w:hanging="360"/>
      </w:pPr>
      <w:rPr>
        <w:u w:val="none"/>
      </w:rPr>
    </w:lvl>
    <w:lvl w:ilvl="2">
      <w:start w:val="1"/>
      <w:numFmt w:val="decimal"/>
      <w:lvlText w:val="%3)"/>
      <w:lvlJc w:val="left"/>
      <w:pPr>
        <w:ind w:left="1239" w:hanging="360"/>
      </w:pPr>
      <w:rPr>
        <w:u w:val="none"/>
      </w:rPr>
    </w:lvl>
    <w:lvl w:ilvl="3">
      <w:start w:val="1"/>
      <w:numFmt w:val="lowerLetter"/>
      <w:lvlText w:val="(%4)"/>
      <w:lvlJc w:val="left"/>
      <w:pPr>
        <w:ind w:left="1959" w:hanging="360"/>
      </w:pPr>
      <w:rPr>
        <w:u w:val="none"/>
      </w:rPr>
    </w:lvl>
    <w:lvl w:ilvl="4">
      <w:start w:val="1"/>
      <w:numFmt w:val="lowerRoman"/>
      <w:lvlText w:val="(%5)"/>
      <w:lvlJc w:val="right"/>
      <w:pPr>
        <w:ind w:left="2679" w:hanging="360"/>
      </w:pPr>
      <w:rPr>
        <w:u w:val="none"/>
      </w:rPr>
    </w:lvl>
    <w:lvl w:ilvl="5">
      <w:start w:val="1"/>
      <w:numFmt w:val="decimal"/>
      <w:lvlText w:val="(%6)"/>
      <w:lvlJc w:val="left"/>
      <w:pPr>
        <w:ind w:left="3399" w:hanging="360"/>
      </w:pPr>
      <w:rPr>
        <w:u w:val="none"/>
      </w:rPr>
    </w:lvl>
    <w:lvl w:ilvl="6">
      <w:start w:val="1"/>
      <w:numFmt w:val="lowerLetter"/>
      <w:lvlText w:val="%7."/>
      <w:lvlJc w:val="left"/>
      <w:pPr>
        <w:ind w:left="4119" w:hanging="360"/>
      </w:pPr>
      <w:rPr>
        <w:u w:val="none"/>
      </w:rPr>
    </w:lvl>
    <w:lvl w:ilvl="7">
      <w:start w:val="1"/>
      <w:numFmt w:val="lowerRoman"/>
      <w:lvlText w:val="%8."/>
      <w:lvlJc w:val="right"/>
      <w:pPr>
        <w:ind w:left="4839" w:hanging="360"/>
      </w:pPr>
      <w:rPr>
        <w:u w:val="none"/>
      </w:rPr>
    </w:lvl>
    <w:lvl w:ilvl="8">
      <w:start w:val="1"/>
      <w:numFmt w:val="decimal"/>
      <w:lvlText w:val="%9."/>
      <w:lvlJc w:val="left"/>
      <w:pPr>
        <w:ind w:left="5559" w:hanging="360"/>
      </w:pPr>
      <w:rPr>
        <w:u w:val="none"/>
      </w:rPr>
    </w:lvl>
  </w:abstractNum>
  <w:abstractNum w:abstractNumId="30" w15:restartNumberingAfterBreak="0">
    <w:nsid w:val="55FB4CBF"/>
    <w:multiLevelType w:val="multilevel"/>
    <w:tmpl w:val="E55CAE68"/>
    <w:lvl w:ilvl="0">
      <w:start w:val="1"/>
      <w:numFmt w:val="lowerLetter"/>
      <w:lvlText w:val="%1."/>
      <w:lvlJc w:val="left"/>
      <w:pPr>
        <w:ind w:left="-90" w:hanging="358"/>
      </w:pPr>
      <w:rPr>
        <w:sz w:val="22"/>
        <w:szCs w:val="22"/>
      </w:rPr>
    </w:lvl>
    <w:lvl w:ilvl="1">
      <w:numFmt w:val="bullet"/>
      <w:lvlText w:val="•"/>
      <w:lvlJc w:val="left"/>
      <w:pPr>
        <w:ind w:left="723" w:hanging="358"/>
      </w:pPr>
    </w:lvl>
    <w:lvl w:ilvl="2">
      <w:numFmt w:val="bullet"/>
      <w:lvlText w:val="•"/>
      <w:lvlJc w:val="left"/>
      <w:pPr>
        <w:ind w:left="1544" w:hanging="358"/>
      </w:pPr>
    </w:lvl>
    <w:lvl w:ilvl="3">
      <w:numFmt w:val="bullet"/>
      <w:lvlText w:val="•"/>
      <w:lvlJc w:val="left"/>
      <w:pPr>
        <w:ind w:left="2364" w:hanging="358"/>
      </w:pPr>
    </w:lvl>
    <w:lvl w:ilvl="4">
      <w:numFmt w:val="bullet"/>
      <w:lvlText w:val="•"/>
      <w:lvlJc w:val="left"/>
      <w:pPr>
        <w:ind w:left="3185" w:hanging="358"/>
      </w:pPr>
    </w:lvl>
    <w:lvl w:ilvl="5">
      <w:numFmt w:val="bullet"/>
      <w:lvlText w:val="•"/>
      <w:lvlJc w:val="left"/>
      <w:pPr>
        <w:ind w:left="4006" w:hanging="358"/>
      </w:pPr>
    </w:lvl>
    <w:lvl w:ilvl="6">
      <w:numFmt w:val="bullet"/>
      <w:lvlText w:val="•"/>
      <w:lvlJc w:val="left"/>
      <w:pPr>
        <w:ind w:left="4826" w:hanging="358"/>
      </w:pPr>
    </w:lvl>
    <w:lvl w:ilvl="7">
      <w:numFmt w:val="bullet"/>
      <w:lvlText w:val="•"/>
      <w:lvlJc w:val="left"/>
      <w:pPr>
        <w:ind w:left="5647" w:hanging="358"/>
      </w:pPr>
    </w:lvl>
    <w:lvl w:ilvl="8">
      <w:numFmt w:val="bullet"/>
      <w:lvlText w:val="•"/>
      <w:lvlJc w:val="left"/>
      <w:pPr>
        <w:ind w:left="6468" w:hanging="358"/>
      </w:pPr>
    </w:lvl>
  </w:abstractNum>
  <w:abstractNum w:abstractNumId="31" w15:restartNumberingAfterBreak="0">
    <w:nsid w:val="572D3076"/>
    <w:multiLevelType w:val="multilevel"/>
    <w:tmpl w:val="D7E8A1FA"/>
    <w:lvl w:ilvl="0">
      <w:numFmt w:val="bullet"/>
      <w:lvlText w:val="–"/>
      <w:lvlJc w:val="left"/>
      <w:pPr>
        <w:ind w:left="1470" w:hanging="358"/>
      </w:pPr>
      <w:rPr>
        <w:rFonts w:ascii="Arial MT" w:eastAsia="Arial MT" w:hAnsi="Arial MT" w:cs="Arial MT"/>
        <w:sz w:val="24"/>
        <w:szCs w:val="24"/>
      </w:rPr>
    </w:lvl>
    <w:lvl w:ilvl="1">
      <w:numFmt w:val="bullet"/>
      <w:lvlText w:val="•"/>
      <w:lvlJc w:val="left"/>
      <w:pPr>
        <w:ind w:left="2334" w:hanging="357"/>
      </w:pPr>
    </w:lvl>
    <w:lvl w:ilvl="2">
      <w:numFmt w:val="bullet"/>
      <w:lvlText w:val="•"/>
      <w:lvlJc w:val="left"/>
      <w:pPr>
        <w:ind w:left="3189" w:hanging="358"/>
      </w:pPr>
    </w:lvl>
    <w:lvl w:ilvl="3">
      <w:numFmt w:val="bullet"/>
      <w:lvlText w:val="•"/>
      <w:lvlJc w:val="left"/>
      <w:pPr>
        <w:ind w:left="4043" w:hanging="358"/>
      </w:pPr>
    </w:lvl>
    <w:lvl w:ilvl="4">
      <w:numFmt w:val="bullet"/>
      <w:lvlText w:val="•"/>
      <w:lvlJc w:val="left"/>
      <w:pPr>
        <w:ind w:left="4898" w:hanging="358"/>
      </w:pPr>
    </w:lvl>
    <w:lvl w:ilvl="5">
      <w:numFmt w:val="bullet"/>
      <w:lvlText w:val="•"/>
      <w:lvlJc w:val="left"/>
      <w:pPr>
        <w:ind w:left="5753" w:hanging="358"/>
      </w:pPr>
    </w:lvl>
    <w:lvl w:ilvl="6">
      <w:numFmt w:val="bullet"/>
      <w:lvlText w:val="•"/>
      <w:lvlJc w:val="left"/>
      <w:pPr>
        <w:ind w:left="6607" w:hanging="357"/>
      </w:pPr>
    </w:lvl>
    <w:lvl w:ilvl="7">
      <w:numFmt w:val="bullet"/>
      <w:lvlText w:val="•"/>
      <w:lvlJc w:val="left"/>
      <w:pPr>
        <w:ind w:left="7462" w:hanging="357"/>
      </w:pPr>
    </w:lvl>
    <w:lvl w:ilvl="8">
      <w:numFmt w:val="bullet"/>
      <w:lvlText w:val="•"/>
      <w:lvlJc w:val="left"/>
      <w:pPr>
        <w:ind w:left="8317" w:hanging="357"/>
      </w:pPr>
    </w:lvl>
  </w:abstractNum>
  <w:abstractNum w:abstractNumId="32" w15:restartNumberingAfterBreak="0">
    <w:nsid w:val="57702919"/>
    <w:multiLevelType w:val="multilevel"/>
    <w:tmpl w:val="AB56ADC4"/>
    <w:lvl w:ilvl="0">
      <w:start w:val="1"/>
      <w:numFmt w:val="lowerLetter"/>
      <w:lvlText w:val="%1."/>
      <w:lvlJc w:val="left"/>
      <w:pPr>
        <w:ind w:left="1068" w:hanging="360"/>
      </w:pPr>
      <w:rPr>
        <w:sz w:val="22"/>
        <w:szCs w:val="22"/>
      </w:rPr>
    </w:lvl>
    <w:lvl w:ilvl="1">
      <w:numFmt w:val="bullet"/>
      <w:lvlText w:val="•"/>
      <w:lvlJc w:val="left"/>
      <w:pPr>
        <w:ind w:left="1832" w:hanging="360"/>
      </w:pPr>
    </w:lvl>
    <w:lvl w:ilvl="2">
      <w:numFmt w:val="bullet"/>
      <w:lvlText w:val="•"/>
      <w:lvlJc w:val="left"/>
      <w:pPr>
        <w:ind w:left="2599" w:hanging="360"/>
      </w:pPr>
    </w:lvl>
    <w:lvl w:ilvl="3">
      <w:numFmt w:val="bullet"/>
      <w:lvlText w:val="•"/>
      <w:lvlJc w:val="left"/>
      <w:pPr>
        <w:ind w:left="3365" w:hanging="360"/>
      </w:pPr>
    </w:lvl>
    <w:lvl w:ilvl="4">
      <w:numFmt w:val="bullet"/>
      <w:lvlText w:val="•"/>
      <w:lvlJc w:val="left"/>
      <w:pPr>
        <w:ind w:left="4132" w:hanging="360"/>
      </w:pPr>
    </w:lvl>
    <w:lvl w:ilvl="5">
      <w:numFmt w:val="bullet"/>
      <w:lvlText w:val="•"/>
      <w:lvlJc w:val="left"/>
      <w:pPr>
        <w:ind w:left="4899" w:hanging="360"/>
      </w:pPr>
    </w:lvl>
    <w:lvl w:ilvl="6">
      <w:numFmt w:val="bullet"/>
      <w:lvlText w:val="•"/>
      <w:lvlJc w:val="left"/>
      <w:pPr>
        <w:ind w:left="5665" w:hanging="360"/>
      </w:pPr>
    </w:lvl>
    <w:lvl w:ilvl="7">
      <w:numFmt w:val="bullet"/>
      <w:lvlText w:val="•"/>
      <w:lvlJc w:val="left"/>
      <w:pPr>
        <w:ind w:left="6432" w:hanging="360"/>
      </w:pPr>
    </w:lvl>
    <w:lvl w:ilvl="8">
      <w:numFmt w:val="bullet"/>
      <w:lvlText w:val="•"/>
      <w:lvlJc w:val="left"/>
      <w:pPr>
        <w:ind w:left="7199" w:hanging="360"/>
      </w:pPr>
    </w:lvl>
  </w:abstractNum>
  <w:abstractNum w:abstractNumId="33" w15:restartNumberingAfterBreak="0">
    <w:nsid w:val="57CA20DB"/>
    <w:multiLevelType w:val="multilevel"/>
    <w:tmpl w:val="76B0A212"/>
    <w:lvl w:ilvl="0">
      <w:start w:val="1"/>
      <w:numFmt w:val="lowerLetter"/>
      <w:lvlText w:val="%1."/>
      <w:lvlJc w:val="left"/>
      <w:pPr>
        <w:ind w:left="1110" w:hanging="360"/>
      </w:pPr>
      <w:rPr>
        <w:u w:val="none"/>
      </w:rPr>
    </w:lvl>
    <w:lvl w:ilvl="1">
      <w:start w:val="1"/>
      <w:numFmt w:val="lowerLetter"/>
      <w:lvlText w:val="%2)"/>
      <w:lvlJc w:val="left"/>
      <w:pPr>
        <w:ind w:left="1830" w:hanging="360"/>
      </w:pPr>
      <w:rPr>
        <w:u w:val="none"/>
      </w:rPr>
    </w:lvl>
    <w:lvl w:ilvl="2">
      <w:start w:val="1"/>
      <w:numFmt w:val="lowerRoman"/>
      <w:lvlText w:val="%3)"/>
      <w:lvlJc w:val="right"/>
      <w:pPr>
        <w:ind w:left="2550" w:hanging="360"/>
      </w:pPr>
      <w:rPr>
        <w:u w:val="none"/>
      </w:rPr>
    </w:lvl>
    <w:lvl w:ilvl="3">
      <w:start w:val="1"/>
      <w:numFmt w:val="decimal"/>
      <w:lvlText w:val="(%4)"/>
      <w:lvlJc w:val="left"/>
      <w:pPr>
        <w:ind w:left="3270" w:hanging="360"/>
      </w:pPr>
      <w:rPr>
        <w:u w:val="none"/>
      </w:rPr>
    </w:lvl>
    <w:lvl w:ilvl="4">
      <w:start w:val="1"/>
      <w:numFmt w:val="lowerLetter"/>
      <w:lvlText w:val="(%5)"/>
      <w:lvlJc w:val="left"/>
      <w:pPr>
        <w:ind w:left="3990" w:hanging="360"/>
      </w:pPr>
      <w:rPr>
        <w:u w:val="none"/>
      </w:rPr>
    </w:lvl>
    <w:lvl w:ilvl="5">
      <w:start w:val="1"/>
      <w:numFmt w:val="lowerRoman"/>
      <w:lvlText w:val="(%6)"/>
      <w:lvlJc w:val="right"/>
      <w:pPr>
        <w:ind w:left="4710" w:hanging="360"/>
      </w:pPr>
      <w:rPr>
        <w:u w:val="none"/>
      </w:rPr>
    </w:lvl>
    <w:lvl w:ilvl="6">
      <w:start w:val="1"/>
      <w:numFmt w:val="decimal"/>
      <w:lvlText w:val="%7."/>
      <w:lvlJc w:val="left"/>
      <w:pPr>
        <w:ind w:left="5430" w:hanging="360"/>
      </w:pPr>
      <w:rPr>
        <w:u w:val="none"/>
      </w:rPr>
    </w:lvl>
    <w:lvl w:ilvl="7">
      <w:start w:val="1"/>
      <w:numFmt w:val="lowerLetter"/>
      <w:lvlText w:val="%8."/>
      <w:lvlJc w:val="left"/>
      <w:pPr>
        <w:ind w:left="6150" w:hanging="360"/>
      </w:pPr>
      <w:rPr>
        <w:u w:val="none"/>
      </w:rPr>
    </w:lvl>
    <w:lvl w:ilvl="8">
      <w:start w:val="1"/>
      <w:numFmt w:val="lowerRoman"/>
      <w:lvlText w:val="%9."/>
      <w:lvlJc w:val="right"/>
      <w:pPr>
        <w:ind w:left="6870" w:hanging="360"/>
      </w:pPr>
      <w:rPr>
        <w:u w:val="none"/>
      </w:rPr>
    </w:lvl>
  </w:abstractNum>
  <w:abstractNum w:abstractNumId="34" w15:restartNumberingAfterBreak="0">
    <w:nsid w:val="5BF76E2B"/>
    <w:multiLevelType w:val="hybridMultilevel"/>
    <w:tmpl w:val="85DCD68C"/>
    <w:lvl w:ilvl="0" w:tplc="BC824BFE">
      <w:start w:val="4"/>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5" w15:restartNumberingAfterBreak="0">
    <w:nsid w:val="5DBD5D9D"/>
    <w:multiLevelType w:val="hybridMultilevel"/>
    <w:tmpl w:val="11A2B0B0"/>
    <w:lvl w:ilvl="0" w:tplc="E8DCEE0A">
      <w:start w:val="10"/>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520916"/>
    <w:multiLevelType w:val="multilevel"/>
    <w:tmpl w:val="AE9E8D6E"/>
    <w:lvl w:ilvl="0">
      <w:start w:val="1"/>
      <w:numFmt w:val="decimal"/>
      <w:lvlText w:val="%1)"/>
      <w:lvlJc w:val="left"/>
      <w:pPr>
        <w:ind w:left="1068" w:hanging="360"/>
      </w:pPr>
      <w:rPr>
        <w:u w:val="none"/>
      </w:rPr>
    </w:lvl>
    <w:lvl w:ilvl="1">
      <w:start w:val="1"/>
      <w:numFmt w:val="decimal"/>
      <w:lvlText w:val="%2)"/>
      <w:lvlJc w:val="left"/>
      <w:pPr>
        <w:ind w:left="1788" w:hanging="360"/>
      </w:pPr>
    </w:lvl>
    <w:lvl w:ilvl="2">
      <w:start w:val="1"/>
      <w:numFmt w:val="lowerRoman"/>
      <w:lvlText w:val="%3)"/>
      <w:lvlJc w:val="right"/>
      <w:pPr>
        <w:ind w:left="2508" w:hanging="360"/>
      </w:pPr>
      <w:rPr>
        <w:u w:val="none"/>
      </w:rPr>
    </w:lvl>
    <w:lvl w:ilvl="3">
      <w:start w:val="1"/>
      <w:numFmt w:val="decimal"/>
      <w:lvlText w:val="(%4)"/>
      <w:lvlJc w:val="left"/>
      <w:pPr>
        <w:ind w:left="3228" w:hanging="360"/>
      </w:pPr>
      <w:rPr>
        <w:u w:val="none"/>
      </w:rPr>
    </w:lvl>
    <w:lvl w:ilvl="4">
      <w:start w:val="1"/>
      <w:numFmt w:val="lowerLetter"/>
      <w:lvlText w:val="(%5)"/>
      <w:lvlJc w:val="left"/>
      <w:pPr>
        <w:ind w:left="3948" w:hanging="360"/>
      </w:pPr>
      <w:rPr>
        <w:u w:val="none"/>
      </w:rPr>
    </w:lvl>
    <w:lvl w:ilvl="5">
      <w:start w:val="1"/>
      <w:numFmt w:val="lowerRoman"/>
      <w:lvlText w:val="(%6)"/>
      <w:lvlJc w:val="right"/>
      <w:pPr>
        <w:ind w:left="4668" w:hanging="360"/>
      </w:pPr>
      <w:rPr>
        <w:u w:val="none"/>
      </w:rPr>
    </w:lvl>
    <w:lvl w:ilvl="6">
      <w:start w:val="1"/>
      <w:numFmt w:val="decimal"/>
      <w:lvlText w:val="%7."/>
      <w:lvlJc w:val="left"/>
      <w:pPr>
        <w:ind w:left="5388" w:hanging="360"/>
      </w:pPr>
      <w:rPr>
        <w:u w:val="none"/>
      </w:rPr>
    </w:lvl>
    <w:lvl w:ilvl="7">
      <w:start w:val="1"/>
      <w:numFmt w:val="lowerLetter"/>
      <w:lvlText w:val="%8."/>
      <w:lvlJc w:val="left"/>
      <w:pPr>
        <w:ind w:left="6108" w:hanging="360"/>
      </w:pPr>
      <w:rPr>
        <w:u w:val="none"/>
      </w:rPr>
    </w:lvl>
    <w:lvl w:ilvl="8">
      <w:start w:val="1"/>
      <w:numFmt w:val="lowerRoman"/>
      <w:lvlText w:val="%9."/>
      <w:lvlJc w:val="right"/>
      <w:pPr>
        <w:ind w:left="6828" w:hanging="360"/>
      </w:pPr>
      <w:rPr>
        <w:u w:val="none"/>
      </w:rPr>
    </w:lvl>
  </w:abstractNum>
  <w:abstractNum w:abstractNumId="37" w15:restartNumberingAfterBreak="0">
    <w:nsid w:val="65BE79F0"/>
    <w:multiLevelType w:val="multilevel"/>
    <w:tmpl w:val="039CBB7E"/>
    <w:lvl w:ilvl="0">
      <w:start w:val="1"/>
      <w:numFmt w:val="lowerLetter"/>
      <w:lvlText w:val="%1."/>
      <w:lvlJc w:val="left"/>
      <w:pPr>
        <w:ind w:left="1068" w:hanging="360"/>
      </w:pPr>
      <w:rPr>
        <w:rFonts w:ascii="Arial Narrow" w:hAnsi="Arial Narrow" w:hint="default"/>
        <w:b w:val="0"/>
        <w:color w:val="000000"/>
        <w:u w:val="none"/>
      </w:rPr>
    </w:lvl>
    <w:lvl w:ilvl="1">
      <w:start w:val="1"/>
      <w:numFmt w:val="lowerLetter"/>
      <w:lvlText w:val="%2."/>
      <w:lvlJc w:val="left"/>
      <w:pPr>
        <w:ind w:left="1788" w:hanging="360"/>
      </w:pPr>
      <w:rPr>
        <w:u w:val="none"/>
      </w:rPr>
    </w:lvl>
    <w:lvl w:ilvl="2">
      <w:start w:val="1"/>
      <w:numFmt w:val="lowerRoman"/>
      <w:lvlText w:val="%3."/>
      <w:lvlJc w:val="right"/>
      <w:pPr>
        <w:ind w:left="2508" w:hanging="360"/>
      </w:pPr>
      <w:rPr>
        <w:u w:val="none"/>
      </w:rPr>
    </w:lvl>
    <w:lvl w:ilvl="3">
      <w:start w:val="1"/>
      <w:numFmt w:val="decimal"/>
      <w:lvlText w:val="%4."/>
      <w:lvlJc w:val="left"/>
      <w:pPr>
        <w:ind w:left="3228" w:hanging="360"/>
      </w:pPr>
      <w:rPr>
        <w:u w:val="none"/>
      </w:rPr>
    </w:lvl>
    <w:lvl w:ilvl="4">
      <w:start w:val="1"/>
      <w:numFmt w:val="lowerLetter"/>
      <w:lvlText w:val="%5."/>
      <w:lvlJc w:val="left"/>
      <w:pPr>
        <w:ind w:left="3948" w:hanging="360"/>
      </w:pPr>
      <w:rPr>
        <w:u w:val="none"/>
      </w:rPr>
    </w:lvl>
    <w:lvl w:ilvl="5">
      <w:start w:val="1"/>
      <w:numFmt w:val="lowerRoman"/>
      <w:lvlText w:val="%6."/>
      <w:lvlJc w:val="right"/>
      <w:pPr>
        <w:ind w:left="4668" w:hanging="360"/>
      </w:pPr>
      <w:rPr>
        <w:u w:val="none"/>
      </w:rPr>
    </w:lvl>
    <w:lvl w:ilvl="6">
      <w:start w:val="1"/>
      <w:numFmt w:val="decimal"/>
      <w:lvlText w:val="%7."/>
      <w:lvlJc w:val="left"/>
      <w:pPr>
        <w:ind w:left="5388" w:hanging="360"/>
      </w:pPr>
      <w:rPr>
        <w:u w:val="none"/>
      </w:rPr>
    </w:lvl>
    <w:lvl w:ilvl="7">
      <w:start w:val="1"/>
      <w:numFmt w:val="lowerLetter"/>
      <w:lvlText w:val="%8."/>
      <w:lvlJc w:val="left"/>
      <w:pPr>
        <w:ind w:left="6108" w:hanging="360"/>
      </w:pPr>
      <w:rPr>
        <w:u w:val="none"/>
      </w:rPr>
    </w:lvl>
    <w:lvl w:ilvl="8">
      <w:start w:val="1"/>
      <w:numFmt w:val="lowerRoman"/>
      <w:lvlText w:val="%9."/>
      <w:lvlJc w:val="right"/>
      <w:pPr>
        <w:ind w:left="6828" w:hanging="360"/>
      </w:pPr>
      <w:rPr>
        <w:u w:val="none"/>
      </w:rPr>
    </w:lvl>
  </w:abstractNum>
  <w:abstractNum w:abstractNumId="38" w15:restartNumberingAfterBreak="0">
    <w:nsid w:val="66A0648B"/>
    <w:multiLevelType w:val="multilevel"/>
    <w:tmpl w:val="01F68DCE"/>
    <w:lvl w:ilvl="0">
      <w:start w:val="1"/>
      <w:numFmt w:val="decimal"/>
      <w:lvlText w:val="%1."/>
      <w:lvlJc w:val="left"/>
      <w:pPr>
        <w:ind w:left="1068" w:hanging="360"/>
      </w:pPr>
      <w:rPr>
        <w:rFonts w:ascii="Arial Narrow" w:eastAsia="Tahoma" w:hAnsi="Arial Narrow" w:cs="Tahoma"/>
        <w:u w:val="none"/>
      </w:rPr>
    </w:lvl>
    <w:lvl w:ilvl="1">
      <w:start w:val="1"/>
      <w:numFmt w:val="lowerLetter"/>
      <w:lvlText w:val="%2)"/>
      <w:lvlJc w:val="left"/>
      <w:pPr>
        <w:ind w:left="1788" w:hanging="360"/>
      </w:pPr>
      <w:rPr>
        <w:u w:val="none"/>
      </w:rPr>
    </w:lvl>
    <w:lvl w:ilvl="2">
      <w:start w:val="1"/>
      <w:numFmt w:val="lowerRoman"/>
      <w:lvlText w:val="%3)"/>
      <w:lvlJc w:val="right"/>
      <w:pPr>
        <w:ind w:left="2508" w:hanging="360"/>
      </w:pPr>
      <w:rPr>
        <w:u w:val="none"/>
      </w:rPr>
    </w:lvl>
    <w:lvl w:ilvl="3">
      <w:start w:val="1"/>
      <w:numFmt w:val="decimal"/>
      <w:lvlText w:val="(%4)"/>
      <w:lvlJc w:val="left"/>
      <w:pPr>
        <w:ind w:left="3228" w:hanging="360"/>
      </w:pPr>
      <w:rPr>
        <w:u w:val="none"/>
      </w:rPr>
    </w:lvl>
    <w:lvl w:ilvl="4">
      <w:start w:val="1"/>
      <w:numFmt w:val="lowerLetter"/>
      <w:lvlText w:val="(%5)"/>
      <w:lvlJc w:val="left"/>
      <w:pPr>
        <w:ind w:left="3948" w:hanging="360"/>
      </w:pPr>
      <w:rPr>
        <w:u w:val="none"/>
      </w:rPr>
    </w:lvl>
    <w:lvl w:ilvl="5">
      <w:start w:val="1"/>
      <w:numFmt w:val="lowerRoman"/>
      <w:lvlText w:val="(%6)"/>
      <w:lvlJc w:val="right"/>
      <w:pPr>
        <w:ind w:left="4668" w:hanging="360"/>
      </w:pPr>
      <w:rPr>
        <w:u w:val="none"/>
      </w:rPr>
    </w:lvl>
    <w:lvl w:ilvl="6">
      <w:start w:val="1"/>
      <w:numFmt w:val="decimal"/>
      <w:lvlText w:val="%7."/>
      <w:lvlJc w:val="left"/>
      <w:pPr>
        <w:ind w:left="5388" w:hanging="360"/>
      </w:pPr>
      <w:rPr>
        <w:u w:val="none"/>
      </w:rPr>
    </w:lvl>
    <w:lvl w:ilvl="7">
      <w:start w:val="1"/>
      <w:numFmt w:val="lowerLetter"/>
      <w:lvlText w:val="%8."/>
      <w:lvlJc w:val="left"/>
      <w:pPr>
        <w:ind w:left="6108" w:hanging="360"/>
      </w:pPr>
      <w:rPr>
        <w:u w:val="none"/>
      </w:rPr>
    </w:lvl>
    <w:lvl w:ilvl="8">
      <w:start w:val="1"/>
      <w:numFmt w:val="lowerRoman"/>
      <w:lvlText w:val="%9."/>
      <w:lvlJc w:val="right"/>
      <w:pPr>
        <w:ind w:left="6828" w:hanging="360"/>
      </w:pPr>
      <w:rPr>
        <w:u w:val="none"/>
      </w:rPr>
    </w:lvl>
  </w:abstractNum>
  <w:abstractNum w:abstractNumId="39" w15:restartNumberingAfterBreak="0">
    <w:nsid w:val="72F97DD9"/>
    <w:multiLevelType w:val="multilevel"/>
    <w:tmpl w:val="FBD6F38C"/>
    <w:lvl w:ilvl="0">
      <w:start w:val="5"/>
      <w:numFmt w:val="decimal"/>
      <w:lvlText w:val="%1."/>
      <w:lvlJc w:val="left"/>
      <w:pPr>
        <w:ind w:left="360" w:hanging="360"/>
      </w:pPr>
      <w:rPr>
        <w:rFonts w:hint="default"/>
        <w:u w:val="none"/>
      </w:rPr>
    </w:lvl>
    <w:lvl w:ilvl="1">
      <w:start w:val="1"/>
      <w:numFmt w:val="lowerLetter"/>
      <w:lvlText w:val="%2."/>
      <w:lvlJc w:val="left"/>
      <w:pPr>
        <w:ind w:left="1080" w:hanging="360"/>
      </w:pPr>
      <w:rPr>
        <w:rFonts w:hint="default"/>
        <w:u w:val="none"/>
      </w:rPr>
    </w:lvl>
    <w:lvl w:ilvl="2">
      <w:start w:val="1"/>
      <w:numFmt w:val="lowerRoman"/>
      <w:lvlText w:val="%3."/>
      <w:lvlJc w:val="right"/>
      <w:pPr>
        <w:ind w:left="1800" w:hanging="360"/>
      </w:pPr>
      <w:rPr>
        <w:rFonts w:hint="default"/>
        <w:u w:val="none"/>
      </w:rPr>
    </w:lvl>
    <w:lvl w:ilvl="3">
      <w:start w:val="1"/>
      <w:numFmt w:val="decimal"/>
      <w:lvlText w:val="%4."/>
      <w:lvlJc w:val="left"/>
      <w:pPr>
        <w:ind w:left="2520" w:hanging="360"/>
      </w:pPr>
      <w:rPr>
        <w:rFonts w:hint="default"/>
        <w:u w:val="none"/>
      </w:rPr>
    </w:lvl>
    <w:lvl w:ilvl="4">
      <w:start w:val="1"/>
      <w:numFmt w:val="lowerLetter"/>
      <w:lvlText w:val="%5."/>
      <w:lvlJc w:val="left"/>
      <w:pPr>
        <w:ind w:left="3240" w:hanging="360"/>
      </w:pPr>
      <w:rPr>
        <w:rFonts w:hint="default"/>
        <w:u w:val="none"/>
      </w:rPr>
    </w:lvl>
    <w:lvl w:ilvl="5">
      <w:start w:val="1"/>
      <w:numFmt w:val="lowerRoman"/>
      <w:lvlText w:val="%6."/>
      <w:lvlJc w:val="right"/>
      <w:pPr>
        <w:ind w:left="3960" w:hanging="360"/>
      </w:pPr>
      <w:rPr>
        <w:rFonts w:hint="default"/>
        <w:u w:val="none"/>
      </w:rPr>
    </w:lvl>
    <w:lvl w:ilvl="6">
      <w:start w:val="1"/>
      <w:numFmt w:val="decimal"/>
      <w:lvlText w:val="%7."/>
      <w:lvlJc w:val="left"/>
      <w:pPr>
        <w:ind w:left="4680" w:hanging="360"/>
      </w:pPr>
      <w:rPr>
        <w:rFonts w:hint="default"/>
        <w:u w:val="none"/>
      </w:rPr>
    </w:lvl>
    <w:lvl w:ilvl="7">
      <w:start w:val="1"/>
      <w:numFmt w:val="lowerLetter"/>
      <w:lvlText w:val="%8."/>
      <w:lvlJc w:val="left"/>
      <w:pPr>
        <w:ind w:left="5400" w:hanging="360"/>
      </w:pPr>
      <w:rPr>
        <w:rFonts w:hint="default"/>
        <w:u w:val="none"/>
      </w:rPr>
    </w:lvl>
    <w:lvl w:ilvl="8">
      <w:start w:val="1"/>
      <w:numFmt w:val="lowerRoman"/>
      <w:lvlText w:val="%9."/>
      <w:lvlJc w:val="right"/>
      <w:pPr>
        <w:ind w:left="6120" w:hanging="360"/>
      </w:pPr>
      <w:rPr>
        <w:rFonts w:hint="default"/>
        <w:u w:val="none"/>
      </w:rPr>
    </w:lvl>
  </w:abstractNum>
  <w:abstractNum w:abstractNumId="40" w15:restartNumberingAfterBreak="0">
    <w:nsid w:val="7B820710"/>
    <w:multiLevelType w:val="multilevel"/>
    <w:tmpl w:val="1D4895DA"/>
    <w:lvl w:ilvl="0">
      <w:start w:val="1"/>
      <w:numFmt w:val="decimal"/>
      <w:lvlText w:val="%1)"/>
      <w:lvlJc w:val="left"/>
      <w:pPr>
        <w:ind w:left="1068" w:hanging="360"/>
      </w:pPr>
    </w:lvl>
    <w:lvl w:ilvl="1">
      <w:start w:val="1"/>
      <w:numFmt w:val="decimal"/>
      <w:lvlText w:val="%2)"/>
      <w:lvlJc w:val="left"/>
      <w:pPr>
        <w:ind w:left="1070" w:hanging="360"/>
      </w:pPr>
    </w:lvl>
    <w:lvl w:ilvl="2">
      <w:start w:val="1"/>
      <w:numFmt w:val="lowerLetter"/>
      <w:lvlText w:val="%3)"/>
      <w:lvlJc w:val="left"/>
      <w:pPr>
        <w:ind w:left="1788" w:hanging="36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1" w15:restartNumberingAfterBreak="0">
    <w:nsid w:val="7C867E82"/>
    <w:multiLevelType w:val="multilevel"/>
    <w:tmpl w:val="22740C66"/>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2" w15:restartNumberingAfterBreak="0">
    <w:nsid w:val="7CE06974"/>
    <w:multiLevelType w:val="multilevel"/>
    <w:tmpl w:val="8C6EF972"/>
    <w:lvl w:ilvl="0">
      <w:start w:val="1"/>
      <w:numFmt w:val="lowerLetter"/>
      <w:lvlText w:val="%1)"/>
      <w:lvlJc w:val="left"/>
      <w:pPr>
        <w:ind w:left="1776" w:hanging="360"/>
      </w:pPr>
      <w:rPr>
        <w:u w:val="none"/>
      </w:rPr>
    </w:lvl>
    <w:lvl w:ilvl="1">
      <w:start w:val="1"/>
      <w:numFmt w:val="lowerRoman"/>
      <w:lvlText w:val="%2)"/>
      <w:lvlJc w:val="right"/>
      <w:pPr>
        <w:ind w:left="2496" w:hanging="360"/>
      </w:pPr>
      <w:rPr>
        <w:u w:val="none"/>
      </w:rPr>
    </w:lvl>
    <w:lvl w:ilvl="2">
      <w:start w:val="1"/>
      <w:numFmt w:val="decimal"/>
      <w:lvlText w:val="%3)"/>
      <w:lvlJc w:val="left"/>
      <w:pPr>
        <w:ind w:left="3216" w:hanging="360"/>
      </w:pPr>
      <w:rPr>
        <w:u w:val="none"/>
      </w:rPr>
    </w:lvl>
    <w:lvl w:ilvl="3">
      <w:start w:val="1"/>
      <w:numFmt w:val="lowerLetter"/>
      <w:lvlText w:val="(%4)"/>
      <w:lvlJc w:val="left"/>
      <w:pPr>
        <w:ind w:left="3936" w:hanging="360"/>
      </w:pPr>
      <w:rPr>
        <w:u w:val="none"/>
      </w:rPr>
    </w:lvl>
    <w:lvl w:ilvl="4">
      <w:start w:val="1"/>
      <w:numFmt w:val="lowerRoman"/>
      <w:lvlText w:val="(%5)"/>
      <w:lvlJc w:val="right"/>
      <w:pPr>
        <w:ind w:left="4656" w:hanging="360"/>
      </w:pPr>
      <w:rPr>
        <w:u w:val="none"/>
      </w:rPr>
    </w:lvl>
    <w:lvl w:ilvl="5">
      <w:start w:val="1"/>
      <w:numFmt w:val="decimal"/>
      <w:lvlText w:val="(%6)"/>
      <w:lvlJc w:val="left"/>
      <w:pPr>
        <w:ind w:left="5376" w:hanging="360"/>
      </w:pPr>
      <w:rPr>
        <w:u w:val="none"/>
      </w:rPr>
    </w:lvl>
    <w:lvl w:ilvl="6">
      <w:start w:val="1"/>
      <w:numFmt w:val="lowerLetter"/>
      <w:lvlText w:val="%7."/>
      <w:lvlJc w:val="left"/>
      <w:pPr>
        <w:ind w:left="6096" w:hanging="360"/>
      </w:pPr>
      <w:rPr>
        <w:u w:val="none"/>
      </w:rPr>
    </w:lvl>
    <w:lvl w:ilvl="7">
      <w:start w:val="1"/>
      <w:numFmt w:val="lowerRoman"/>
      <w:lvlText w:val="%8."/>
      <w:lvlJc w:val="right"/>
      <w:pPr>
        <w:ind w:left="6816" w:hanging="360"/>
      </w:pPr>
      <w:rPr>
        <w:u w:val="none"/>
      </w:rPr>
    </w:lvl>
    <w:lvl w:ilvl="8">
      <w:start w:val="1"/>
      <w:numFmt w:val="decimal"/>
      <w:lvlText w:val="%9."/>
      <w:lvlJc w:val="left"/>
      <w:pPr>
        <w:ind w:left="7536" w:hanging="360"/>
      </w:pPr>
      <w:rPr>
        <w:u w:val="none"/>
      </w:rPr>
    </w:lvl>
  </w:abstractNum>
  <w:num w:numId="1">
    <w:abstractNumId w:val="17"/>
  </w:num>
  <w:num w:numId="2">
    <w:abstractNumId w:val="10"/>
  </w:num>
  <w:num w:numId="3">
    <w:abstractNumId w:val="6"/>
  </w:num>
  <w:num w:numId="4">
    <w:abstractNumId w:val="30"/>
  </w:num>
  <w:num w:numId="5">
    <w:abstractNumId w:val="1"/>
  </w:num>
  <w:num w:numId="6">
    <w:abstractNumId w:val="31"/>
  </w:num>
  <w:num w:numId="7">
    <w:abstractNumId w:val="24"/>
  </w:num>
  <w:num w:numId="8">
    <w:abstractNumId w:val="23"/>
  </w:num>
  <w:num w:numId="9">
    <w:abstractNumId w:val="9"/>
  </w:num>
  <w:num w:numId="10">
    <w:abstractNumId w:val="4"/>
  </w:num>
  <w:num w:numId="11">
    <w:abstractNumId w:val="2"/>
  </w:num>
  <w:num w:numId="12">
    <w:abstractNumId w:val="7"/>
  </w:num>
  <w:num w:numId="13">
    <w:abstractNumId w:val="36"/>
  </w:num>
  <w:num w:numId="14">
    <w:abstractNumId w:val="0"/>
  </w:num>
  <w:num w:numId="15">
    <w:abstractNumId w:val="16"/>
  </w:num>
  <w:num w:numId="16">
    <w:abstractNumId w:val="14"/>
  </w:num>
  <w:num w:numId="17">
    <w:abstractNumId w:val="40"/>
  </w:num>
  <w:num w:numId="18">
    <w:abstractNumId w:val="29"/>
  </w:num>
  <w:num w:numId="19">
    <w:abstractNumId w:val="3"/>
  </w:num>
  <w:num w:numId="20">
    <w:abstractNumId w:val="19"/>
  </w:num>
  <w:num w:numId="21">
    <w:abstractNumId w:val="42"/>
  </w:num>
  <w:num w:numId="22">
    <w:abstractNumId w:val="13"/>
  </w:num>
  <w:num w:numId="23">
    <w:abstractNumId w:val="25"/>
  </w:num>
  <w:num w:numId="24">
    <w:abstractNumId w:val="18"/>
  </w:num>
  <w:num w:numId="25">
    <w:abstractNumId w:val="11"/>
  </w:num>
  <w:num w:numId="26">
    <w:abstractNumId w:val="20"/>
  </w:num>
  <w:num w:numId="27">
    <w:abstractNumId w:val="15"/>
  </w:num>
  <w:num w:numId="28">
    <w:abstractNumId w:val="27"/>
  </w:num>
  <w:num w:numId="29">
    <w:abstractNumId w:val="33"/>
  </w:num>
  <w:num w:numId="30">
    <w:abstractNumId w:val="12"/>
  </w:num>
  <w:num w:numId="31">
    <w:abstractNumId w:val="32"/>
  </w:num>
  <w:num w:numId="32">
    <w:abstractNumId w:val="41"/>
  </w:num>
  <w:num w:numId="33">
    <w:abstractNumId w:val="22"/>
  </w:num>
  <w:num w:numId="34">
    <w:abstractNumId w:val="21"/>
  </w:num>
  <w:num w:numId="35">
    <w:abstractNumId w:val="28"/>
  </w:num>
  <w:num w:numId="36">
    <w:abstractNumId w:val="8"/>
  </w:num>
  <w:num w:numId="37">
    <w:abstractNumId w:val="37"/>
  </w:num>
  <w:num w:numId="38">
    <w:abstractNumId w:val="5"/>
  </w:num>
  <w:num w:numId="39">
    <w:abstractNumId w:val="26"/>
  </w:num>
  <w:num w:numId="40">
    <w:abstractNumId w:val="38"/>
  </w:num>
  <w:num w:numId="41">
    <w:abstractNumId w:val="35"/>
  </w:num>
  <w:num w:numId="42">
    <w:abstractNumId w:val="34"/>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2BBAF7-5F33-445A-8818-B9406EEC1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pPr>
      <w:tabs>
        <w:tab w:val="center" w:pos="4536"/>
        <w:tab w:val="right" w:pos="9072"/>
      </w:tabs>
      <w:spacing w:after="0" w:line="240" w:lineRule="auto"/>
    </w:pPr>
  </w:style>
  <w:style w:type="character" w:customStyle="1" w:styleId="NagwekZnak">
    <w:name w:val="Nagłówek Znak"/>
    <w:basedOn w:val="Domylnaczcionkaakapitu"/>
    <w:link w:val="Nagwek"/>
    <w:uiPriority w:val="99"/>
  </w:style>
  <w:style w:type="paragraph" w:styleId="Stopka">
    <w:name w:val="footer"/>
    <w:basedOn w:val="Normalny"/>
    <w:link w:val="StopkaZnak"/>
    <w:uiPriority w:val="99"/>
    <w:unhideWhenUsed/>
    <w:pPr>
      <w:tabs>
        <w:tab w:val="center" w:pos="4536"/>
        <w:tab w:val="right" w:pos="9072"/>
      </w:tabs>
      <w:spacing w:after="0" w:line="240" w:lineRule="auto"/>
    </w:pPr>
  </w:style>
  <w:style w:type="character" w:customStyle="1" w:styleId="StopkaZnak">
    <w:name w:val="Stopka Znak"/>
    <w:basedOn w:val="Domylnaczcionkaakapitu"/>
    <w:link w:val="Stopka"/>
    <w:uiPriority w:val="99"/>
  </w:style>
  <w:style w:type="paragraph" w:styleId="Tekstprzypisudolnego">
    <w:name w:val="footnote text"/>
    <w:basedOn w:val="Normalny"/>
    <w:link w:val="TekstprzypisudolnegoZnak"/>
    <w:uiPriority w:val="99"/>
    <w:semiHidden/>
    <w:unhideWhenUsed/>
    <w:pPr>
      <w:spacing w:after="0" w:line="240" w:lineRule="auto"/>
    </w:pPr>
    <w:rPr>
      <w:rFonts w:ascii="Verdana" w:eastAsia="Arial" w:hAnsi="Verdana" w:cs="Arial"/>
      <w:sz w:val="20"/>
      <w:szCs w:val="20"/>
      <w:lang w:val="pl" w:eastAsia="pl-PL"/>
    </w:rPr>
  </w:style>
  <w:style w:type="character" w:customStyle="1" w:styleId="TekstprzypisudolnegoZnak">
    <w:name w:val="Tekst przypisu dolnego Znak"/>
    <w:basedOn w:val="Domylnaczcionkaakapitu"/>
    <w:link w:val="Tekstprzypisudolnego"/>
    <w:uiPriority w:val="99"/>
    <w:semiHidden/>
    <w:rPr>
      <w:rFonts w:ascii="Verdana" w:eastAsia="Arial" w:hAnsi="Verdana" w:cs="Arial"/>
      <w:sz w:val="20"/>
      <w:szCs w:val="20"/>
      <w:lang w:val="pl" w:eastAsia="pl-PL"/>
    </w:rPr>
  </w:style>
  <w:style w:type="character" w:styleId="Odwoanieprzypisudolnego">
    <w:name w:val="footnote reference"/>
    <w:basedOn w:val="Domylnaczcionkaakapitu"/>
    <w:uiPriority w:val="99"/>
    <w:semiHidden/>
    <w:unhideWhenUsed/>
    <w:rPr>
      <w:vertAlign w:val="superscript"/>
    </w:rPr>
  </w:style>
  <w:style w:type="paragraph" w:styleId="Tekstdymka">
    <w:name w:val="Balloon Text"/>
    <w:basedOn w:val="Normalny"/>
    <w:link w:val="TekstdymkaZnak"/>
    <w:uiPriority w:val="99"/>
    <w:semiHidden/>
    <w:unhideWhenUs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Pr>
      <w:rFonts w:ascii="Segoe UI" w:hAnsi="Segoe UI" w:cs="Segoe UI"/>
      <w:sz w:val="18"/>
      <w:szCs w:val="18"/>
    </w:rPr>
  </w:style>
  <w:style w:type="paragraph" w:styleId="Akapitzlist">
    <w:name w:val="List Paragraph"/>
    <w:basedOn w:val="Normalny"/>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29</Pages>
  <Words>10071</Words>
  <Characters>60426</Characters>
  <Application>Microsoft Office Word</Application>
  <DocSecurity>0</DocSecurity>
  <Lines>503</Lines>
  <Paragraphs>140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dc:creator>
  <cp:keywords/>
  <dc:description/>
  <cp:lastModifiedBy>Paulina</cp:lastModifiedBy>
  <cp:revision>3</cp:revision>
  <dcterms:created xsi:type="dcterms:W3CDTF">2025-06-30T08:51:00Z</dcterms:created>
  <dcterms:modified xsi:type="dcterms:W3CDTF">2025-07-02T09:19:00Z</dcterms:modified>
</cp:coreProperties>
</file>